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19B11">
      <w:pPr>
        <w:spacing w:line="600" w:lineRule="exact"/>
        <w:jc w:val="left"/>
        <w:outlineLvl w:val="0"/>
        <w:rPr>
          <w:rFonts w:ascii="方正小标宋简体" w:hAnsi="宋体" w:eastAsia="方正小标宋简体"/>
          <w:szCs w:val="21"/>
        </w:rPr>
      </w:pPr>
      <w:bookmarkStart w:id="0" w:name="_Toc15306267"/>
    </w:p>
    <w:p w14:paraId="2D4537BD">
      <w:pPr>
        <w:pStyle w:val="5"/>
        <w:spacing w:before="93"/>
      </w:pPr>
    </w:p>
    <w:p w14:paraId="430B6A5F">
      <w:pPr>
        <w:spacing w:line="600" w:lineRule="exact"/>
        <w:jc w:val="center"/>
        <w:outlineLvl w:val="0"/>
        <w:rPr>
          <w:rFonts w:ascii="方正小标宋简体" w:hAnsi="宋体" w:eastAsia="方正小标宋简体"/>
          <w:sz w:val="72"/>
          <w:szCs w:val="72"/>
        </w:rPr>
      </w:pPr>
    </w:p>
    <w:p w14:paraId="3FD2A30D">
      <w:pPr>
        <w:spacing w:line="600" w:lineRule="exact"/>
        <w:jc w:val="center"/>
        <w:outlineLvl w:val="0"/>
        <w:rPr>
          <w:rFonts w:ascii="方正小标宋简体" w:hAnsi="宋体" w:eastAsia="方正小标宋简体"/>
          <w:sz w:val="72"/>
          <w:szCs w:val="72"/>
        </w:rPr>
      </w:pPr>
    </w:p>
    <w:p w14:paraId="309B6F06">
      <w:pPr>
        <w:autoSpaceDE w:val="0"/>
        <w:autoSpaceDN w:val="0"/>
        <w:adjustRightInd w:val="0"/>
        <w:jc w:val="center"/>
        <w:rPr>
          <w:rFonts w:hint="eastAsia" w:ascii="方正小标宋简体" w:hAnsi="方正小标宋简体" w:eastAsia="方正小标宋简体" w:cs="Times New Roman"/>
          <w:kern w:val="2"/>
          <w:sz w:val="72"/>
          <w:szCs w:val="24"/>
          <w:lang w:val="zh-CN"/>
        </w:rPr>
      </w:pPr>
      <w:bookmarkStart w:id="1" w:name="_Toc15378441"/>
      <w:bookmarkStart w:id="2" w:name="_Toc15377425"/>
      <w:bookmarkStart w:id="3" w:name="_Toc15396475"/>
      <w:bookmarkStart w:id="4" w:name="_Toc15377193"/>
      <w:bookmarkStart w:id="5" w:name="_Toc15396597"/>
      <w:bookmarkStart w:id="6" w:name="_Toc8544"/>
      <w:r>
        <w:rPr>
          <w:rFonts w:hint="eastAsia" w:ascii="方正小标宋简体" w:hAnsi="方正小标宋简体" w:eastAsia="方正小标宋简体" w:cs="Times New Roman"/>
          <w:kern w:val="2"/>
          <w:sz w:val="72"/>
          <w:szCs w:val="24"/>
          <w:lang w:val="zh-CN"/>
        </w:rPr>
        <w:t>2023年度</w:t>
      </w:r>
      <w:bookmarkEnd w:id="1"/>
      <w:bookmarkEnd w:id="2"/>
      <w:bookmarkEnd w:id="3"/>
      <w:bookmarkEnd w:id="4"/>
      <w:bookmarkEnd w:id="5"/>
      <w:bookmarkEnd w:id="6"/>
    </w:p>
    <w:bookmarkEnd w:id="0"/>
    <w:p w14:paraId="1F8E570F">
      <w:pPr>
        <w:autoSpaceDE w:val="0"/>
        <w:autoSpaceDN w:val="0"/>
        <w:adjustRightInd w:val="0"/>
        <w:jc w:val="center"/>
        <w:rPr>
          <w:rFonts w:hint="eastAsia" w:ascii="方正小标宋简体" w:hAnsi="方正小标宋简体" w:eastAsia="方正小标宋简体" w:cs="Times New Roman"/>
          <w:kern w:val="2"/>
          <w:sz w:val="72"/>
          <w:szCs w:val="24"/>
          <w:lang w:val="zh-CN"/>
        </w:rPr>
      </w:pPr>
      <w:bookmarkStart w:id="7" w:name="_Toc15378442"/>
      <w:bookmarkStart w:id="8" w:name="_Toc15377426"/>
      <w:bookmarkStart w:id="9" w:name="_Toc12233"/>
      <w:bookmarkStart w:id="10" w:name="_Toc15396598"/>
      <w:bookmarkStart w:id="11" w:name="_Toc15377194"/>
      <w:bookmarkStart w:id="12" w:name="_Toc15396476"/>
      <w:bookmarkStart w:id="13" w:name="_Toc15306268"/>
      <w:r>
        <w:rPr>
          <w:rFonts w:hint="eastAsia" w:ascii="方正小标宋简体" w:hAnsi="方正小标宋简体" w:eastAsia="方正小标宋简体" w:cs="Times New Roman"/>
          <w:kern w:val="2"/>
          <w:sz w:val="72"/>
          <w:szCs w:val="24"/>
          <w:lang w:val="en-US" w:eastAsia="zh-CN"/>
        </w:rPr>
        <w:t>泸县毗卢镇人民政府</w:t>
      </w:r>
      <w:r>
        <w:rPr>
          <w:rFonts w:hint="eastAsia" w:ascii="方正小标宋简体" w:hAnsi="方正小标宋简体" w:eastAsia="方正小标宋简体" w:cs="Times New Roman"/>
          <w:kern w:val="2"/>
          <w:sz w:val="72"/>
          <w:szCs w:val="24"/>
          <w:lang w:val="zh-CN"/>
        </w:rPr>
        <w:t>单位决算</w:t>
      </w:r>
      <w:bookmarkEnd w:id="7"/>
      <w:bookmarkEnd w:id="8"/>
      <w:bookmarkEnd w:id="9"/>
      <w:bookmarkEnd w:id="10"/>
      <w:bookmarkEnd w:id="11"/>
      <w:bookmarkEnd w:id="12"/>
      <w:bookmarkEnd w:id="13"/>
    </w:p>
    <w:p w14:paraId="5E0EFE89">
      <w:pPr>
        <w:adjustRightInd w:val="0"/>
        <w:snapToGrid w:val="0"/>
        <w:spacing w:line="360" w:lineRule="auto"/>
        <w:jc w:val="both"/>
        <w:outlineLvl w:val="0"/>
        <w:rPr>
          <w:rFonts w:ascii="方正小标宋简体" w:hAnsi="宋体" w:eastAsia="方正小标宋简体"/>
          <w:sz w:val="52"/>
          <w:szCs w:val="52"/>
        </w:rPr>
      </w:pPr>
    </w:p>
    <w:p w14:paraId="0A552596">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14:paraId="37644CFB">
      <w:pPr>
        <w:pStyle w:val="11"/>
      </w:pPr>
      <w:r>
        <w:rPr>
          <w:rFonts w:hint="eastAsia"/>
        </w:rPr>
        <w:t>公开时间：202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w:t>
      </w:r>
      <w:bookmarkStart w:id="14" w:name="_Toc15377196"/>
      <w:bookmarkStart w:id="15" w:name="_Toc15396599"/>
      <w:r>
        <w:fldChar w:fldCharType="begin"/>
      </w:r>
      <w:r>
        <w:instrText xml:space="preserve">TOC \o "1-2" \h \u </w:instrText>
      </w:r>
      <w:r>
        <w:fldChar w:fldCharType="separate"/>
      </w:r>
    </w:p>
    <w:p w14:paraId="5CDE9CF7">
      <w:pPr>
        <w:pStyle w:val="11"/>
        <w:tabs>
          <w:tab w:val="right" w:leader="dot" w:pos="8306"/>
          <w:tab w:val="clear" w:pos="8296"/>
        </w:tabs>
      </w:pPr>
      <w:r>
        <w:fldChar w:fldCharType="begin"/>
      </w:r>
      <w:r>
        <w:instrText xml:space="preserve"> HYPERLINK \l _Toc20240 </w:instrText>
      </w:r>
      <w:r>
        <w:fldChar w:fldCharType="separate"/>
      </w:r>
      <w:r>
        <w:rPr>
          <w:rFonts w:hint="eastAsia" w:ascii="黑体" w:hAnsi="黑体" w:eastAsia="黑体"/>
        </w:rPr>
        <w:t>第一部分 单位</w:t>
      </w:r>
      <w:r>
        <w:rPr>
          <w:rFonts w:hint="eastAsia" w:ascii="黑体" w:hAnsi="黑体" w:eastAsia="黑体"/>
          <w:bCs w:val="0"/>
        </w:rPr>
        <w:t>概况</w:t>
      </w:r>
      <w:r>
        <w:tab/>
      </w:r>
      <w:r>
        <w:fldChar w:fldCharType="begin"/>
      </w:r>
      <w:r>
        <w:instrText xml:space="preserve"> PAGEREF _Toc20240 \h </w:instrText>
      </w:r>
      <w:r>
        <w:fldChar w:fldCharType="separate"/>
      </w:r>
      <w:r>
        <w:t>3</w:t>
      </w:r>
      <w:r>
        <w:fldChar w:fldCharType="end"/>
      </w:r>
      <w:r>
        <w:fldChar w:fldCharType="end"/>
      </w:r>
    </w:p>
    <w:p w14:paraId="7EFA5970">
      <w:pPr>
        <w:pStyle w:val="12"/>
        <w:tabs>
          <w:tab w:val="right" w:leader="dot" w:pos="8306"/>
          <w:tab w:val="clear" w:pos="8296"/>
        </w:tabs>
      </w:pPr>
      <w:r>
        <w:fldChar w:fldCharType="begin"/>
      </w:r>
      <w:r>
        <w:instrText xml:space="preserve"> HYPERLINK \l _Toc3937 </w:instrText>
      </w:r>
      <w:r>
        <w:fldChar w:fldCharType="separate"/>
      </w:r>
      <w:r>
        <w:rPr>
          <w:rFonts w:hint="eastAsia" w:ascii="黑体" w:hAnsi="黑体" w:eastAsia="黑体"/>
          <w:bCs w:val="0"/>
        </w:rPr>
        <w:t>一、 主要职责</w:t>
      </w:r>
      <w:r>
        <w:tab/>
      </w:r>
      <w:r>
        <w:fldChar w:fldCharType="begin"/>
      </w:r>
      <w:r>
        <w:instrText xml:space="preserve"> PAGEREF _Toc3937 \h </w:instrText>
      </w:r>
      <w:r>
        <w:fldChar w:fldCharType="separate"/>
      </w:r>
      <w:r>
        <w:t>3</w:t>
      </w:r>
      <w:r>
        <w:fldChar w:fldCharType="end"/>
      </w:r>
      <w:r>
        <w:fldChar w:fldCharType="end"/>
      </w:r>
    </w:p>
    <w:p w14:paraId="201F1CDA">
      <w:pPr>
        <w:pStyle w:val="12"/>
        <w:tabs>
          <w:tab w:val="right" w:leader="dot" w:pos="8306"/>
          <w:tab w:val="clear" w:pos="8296"/>
        </w:tabs>
      </w:pPr>
      <w:r>
        <w:fldChar w:fldCharType="begin"/>
      </w:r>
      <w:r>
        <w:instrText xml:space="preserve"> HYPERLINK \l _Toc15089 </w:instrText>
      </w:r>
      <w:r>
        <w:fldChar w:fldCharType="separate"/>
      </w:r>
      <w:r>
        <w:rPr>
          <w:rFonts w:hint="eastAsia" w:ascii="黑体" w:hAnsi="黑体" w:eastAsia="黑体"/>
        </w:rPr>
        <w:t>二、 机构设置</w:t>
      </w:r>
      <w:r>
        <w:tab/>
      </w:r>
      <w:r>
        <w:fldChar w:fldCharType="begin"/>
      </w:r>
      <w:r>
        <w:instrText xml:space="preserve"> PAGEREF _Toc15089 \h </w:instrText>
      </w:r>
      <w:r>
        <w:fldChar w:fldCharType="separate"/>
      </w:r>
      <w:r>
        <w:t>3</w:t>
      </w:r>
      <w:r>
        <w:fldChar w:fldCharType="end"/>
      </w:r>
      <w:r>
        <w:fldChar w:fldCharType="end"/>
      </w:r>
    </w:p>
    <w:p w14:paraId="5170FC24">
      <w:pPr>
        <w:pStyle w:val="11"/>
        <w:tabs>
          <w:tab w:val="right" w:leader="dot" w:pos="8306"/>
          <w:tab w:val="clear" w:pos="8296"/>
        </w:tabs>
      </w:pPr>
      <w:r>
        <w:fldChar w:fldCharType="begin"/>
      </w:r>
      <w:r>
        <w:instrText xml:space="preserve"> HYPERLINK \l _Toc24045 </w:instrText>
      </w:r>
      <w:r>
        <w:fldChar w:fldCharType="separate"/>
      </w:r>
      <w:r>
        <w:rPr>
          <w:rFonts w:hint="eastAsia" w:ascii="黑体" w:hAnsi="黑体" w:eastAsia="黑体"/>
        </w:rPr>
        <w:t>第二部分 2023年度</w:t>
      </w:r>
      <w:r>
        <w:rPr>
          <w:rFonts w:hint="eastAsia" w:ascii="黑体" w:hAnsi="黑体" w:eastAsia="黑体"/>
          <w:bCs/>
        </w:rPr>
        <w:t>单位决算情况说明</w:t>
      </w:r>
      <w:r>
        <w:tab/>
      </w:r>
      <w:r>
        <w:fldChar w:fldCharType="begin"/>
      </w:r>
      <w:r>
        <w:instrText xml:space="preserve"> PAGEREF _Toc24045 \h </w:instrText>
      </w:r>
      <w:r>
        <w:fldChar w:fldCharType="separate"/>
      </w:r>
      <w:r>
        <w:t>4</w:t>
      </w:r>
      <w:r>
        <w:fldChar w:fldCharType="end"/>
      </w:r>
      <w:r>
        <w:fldChar w:fldCharType="end"/>
      </w:r>
    </w:p>
    <w:p w14:paraId="3277C376">
      <w:pPr>
        <w:pStyle w:val="12"/>
        <w:tabs>
          <w:tab w:val="right" w:leader="dot" w:pos="8306"/>
          <w:tab w:val="clear" w:pos="8296"/>
        </w:tabs>
      </w:pPr>
      <w:r>
        <w:fldChar w:fldCharType="begin"/>
      </w:r>
      <w:r>
        <w:instrText xml:space="preserve"> HYPERLINK \l _Toc611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_Toc611 \h </w:instrText>
      </w:r>
      <w:r>
        <w:fldChar w:fldCharType="separate"/>
      </w:r>
      <w:r>
        <w:t>4</w:t>
      </w:r>
      <w:r>
        <w:fldChar w:fldCharType="end"/>
      </w:r>
      <w:r>
        <w:fldChar w:fldCharType="end"/>
      </w:r>
    </w:p>
    <w:p w14:paraId="518A11A1">
      <w:pPr>
        <w:pStyle w:val="12"/>
        <w:tabs>
          <w:tab w:val="right" w:leader="dot" w:pos="8306"/>
          <w:tab w:val="clear" w:pos="8296"/>
        </w:tabs>
      </w:pPr>
      <w:r>
        <w:fldChar w:fldCharType="begin"/>
      </w:r>
      <w:r>
        <w:instrText xml:space="preserve"> HYPERLINK \l _Toc12659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_Toc12659 \h </w:instrText>
      </w:r>
      <w:r>
        <w:fldChar w:fldCharType="separate"/>
      </w:r>
      <w:r>
        <w:t>4</w:t>
      </w:r>
      <w:r>
        <w:fldChar w:fldCharType="end"/>
      </w:r>
      <w:r>
        <w:fldChar w:fldCharType="end"/>
      </w:r>
    </w:p>
    <w:p w14:paraId="32ED1EF8">
      <w:pPr>
        <w:pStyle w:val="12"/>
        <w:tabs>
          <w:tab w:val="right" w:leader="dot" w:pos="8306"/>
          <w:tab w:val="clear" w:pos="8296"/>
        </w:tabs>
      </w:pPr>
      <w:r>
        <w:fldChar w:fldCharType="begin"/>
      </w:r>
      <w:r>
        <w:instrText xml:space="preserve"> HYPERLINK \l _Toc14452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_Toc14452 \h </w:instrText>
      </w:r>
      <w:r>
        <w:fldChar w:fldCharType="separate"/>
      </w:r>
      <w:r>
        <w:t>5</w:t>
      </w:r>
      <w:r>
        <w:fldChar w:fldCharType="end"/>
      </w:r>
      <w:r>
        <w:fldChar w:fldCharType="end"/>
      </w:r>
    </w:p>
    <w:p w14:paraId="162032FD">
      <w:pPr>
        <w:pStyle w:val="12"/>
        <w:tabs>
          <w:tab w:val="right" w:leader="dot" w:pos="8306"/>
          <w:tab w:val="clear" w:pos="8296"/>
        </w:tabs>
      </w:pPr>
      <w:r>
        <w:fldChar w:fldCharType="begin"/>
      </w:r>
      <w:r>
        <w:instrText xml:space="preserve"> HYPERLINK \l _Toc13981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_Toc13981 \h </w:instrText>
      </w:r>
      <w:r>
        <w:fldChar w:fldCharType="separate"/>
      </w:r>
      <w:r>
        <w:t>6</w:t>
      </w:r>
      <w:r>
        <w:fldChar w:fldCharType="end"/>
      </w:r>
      <w:r>
        <w:fldChar w:fldCharType="end"/>
      </w:r>
    </w:p>
    <w:p w14:paraId="345DC280">
      <w:pPr>
        <w:pStyle w:val="12"/>
        <w:tabs>
          <w:tab w:val="right" w:leader="dot" w:pos="8306"/>
          <w:tab w:val="clear" w:pos="8296"/>
        </w:tabs>
      </w:pPr>
      <w:r>
        <w:fldChar w:fldCharType="begin"/>
      </w:r>
      <w:r>
        <w:instrText xml:space="preserve"> HYPERLINK \l _Toc29478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_Toc29478 \h </w:instrText>
      </w:r>
      <w:r>
        <w:fldChar w:fldCharType="separate"/>
      </w:r>
      <w:r>
        <w:t>6</w:t>
      </w:r>
      <w:r>
        <w:fldChar w:fldCharType="end"/>
      </w:r>
      <w:r>
        <w:fldChar w:fldCharType="end"/>
      </w:r>
    </w:p>
    <w:p w14:paraId="2D352665">
      <w:pPr>
        <w:pStyle w:val="12"/>
        <w:tabs>
          <w:tab w:val="right" w:leader="dot" w:pos="8306"/>
          <w:tab w:val="clear" w:pos="8296"/>
        </w:tabs>
      </w:pPr>
      <w:r>
        <w:fldChar w:fldCharType="begin"/>
      </w:r>
      <w:r>
        <w:instrText xml:space="preserve"> HYPERLINK \l _Toc1329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_Toc1329 \h </w:instrText>
      </w:r>
      <w:r>
        <w:fldChar w:fldCharType="separate"/>
      </w:r>
      <w:r>
        <w:t>10</w:t>
      </w:r>
      <w:r>
        <w:fldChar w:fldCharType="end"/>
      </w:r>
      <w:r>
        <w:fldChar w:fldCharType="end"/>
      </w:r>
    </w:p>
    <w:p w14:paraId="575648FD">
      <w:pPr>
        <w:pStyle w:val="12"/>
        <w:tabs>
          <w:tab w:val="right" w:leader="dot" w:pos="8306"/>
          <w:tab w:val="clear" w:pos="8296"/>
        </w:tabs>
      </w:pPr>
      <w:r>
        <w:fldChar w:fldCharType="begin"/>
      </w:r>
      <w:r>
        <w:instrText xml:space="preserve"> HYPERLINK \l _Toc4112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_Toc4112 \h </w:instrText>
      </w:r>
      <w:r>
        <w:fldChar w:fldCharType="separate"/>
      </w:r>
      <w:r>
        <w:t>11</w:t>
      </w:r>
      <w:r>
        <w:fldChar w:fldCharType="end"/>
      </w:r>
      <w:r>
        <w:fldChar w:fldCharType="end"/>
      </w:r>
    </w:p>
    <w:p w14:paraId="786AFA5A">
      <w:pPr>
        <w:pStyle w:val="12"/>
        <w:tabs>
          <w:tab w:val="right" w:leader="dot" w:pos="8306"/>
          <w:tab w:val="clear" w:pos="8296"/>
        </w:tabs>
      </w:pPr>
      <w:r>
        <w:fldChar w:fldCharType="begin"/>
      </w:r>
      <w:r>
        <w:instrText xml:space="preserve"> HYPERLINK \l _Toc9376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_Toc9376 \h </w:instrText>
      </w:r>
      <w:r>
        <w:fldChar w:fldCharType="separate"/>
      </w:r>
      <w:r>
        <w:t>13</w:t>
      </w:r>
      <w:r>
        <w:fldChar w:fldCharType="end"/>
      </w:r>
      <w:r>
        <w:fldChar w:fldCharType="end"/>
      </w:r>
    </w:p>
    <w:p w14:paraId="2AE360C0">
      <w:pPr>
        <w:pStyle w:val="12"/>
        <w:tabs>
          <w:tab w:val="right" w:leader="dot" w:pos="8306"/>
          <w:tab w:val="clear" w:pos="8296"/>
        </w:tabs>
      </w:pPr>
      <w:r>
        <w:fldChar w:fldCharType="begin"/>
      </w:r>
      <w:r>
        <w:instrText xml:space="preserve"> HYPERLINK \l _Toc7892 </w:instrText>
      </w:r>
      <w:r>
        <w:fldChar w:fldCharType="separate"/>
      </w:r>
      <w:r>
        <w:rPr>
          <w:rFonts w:hint="eastAsia" w:ascii="黑体" w:hAnsi="黑体" w:eastAsia="黑体"/>
        </w:rPr>
        <w:t>九、 国有资本经营预算支出决算情况说明</w:t>
      </w:r>
      <w:r>
        <w:tab/>
      </w:r>
      <w:r>
        <w:fldChar w:fldCharType="begin"/>
      </w:r>
      <w:r>
        <w:instrText xml:space="preserve"> PAGEREF _Toc7892 \h </w:instrText>
      </w:r>
      <w:r>
        <w:fldChar w:fldCharType="separate"/>
      </w:r>
      <w:r>
        <w:t>13</w:t>
      </w:r>
      <w:r>
        <w:fldChar w:fldCharType="end"/>
      </w:r>
      <w:r>
        <w:fldChar w:fldCharType="end"/>
      </w:r>
    </w:p>
    <w:p w14:paraId="6A750F78">
      <w:pPr>
        <w:pStyle w:val="12"/>
        <w:tabs>
          <w:tab w:val="right" w:leader="dot" w:pos="8306"/>
          <w:tab w:val="clear" w:pos="8296"/>
        </w:tabs>
      </w:pPr>
      <w:r>
        <w:fldChar w:fldCharType="begin"/>
      </w:r>
      <w:r>
        <w:instrText xml:space="preserve"> HYPERLINK \l _Toc16959 </w:instrText>
      </w:r>
      <w:r>
        <w:fldChar w:fldCharType="separate"/>
      </w:r>
      <w:r>
        <w:rPr>
          <w:rFonts w:hint="eastAsia" w:ascii="黑体" w:hAnsi="黑体" w:eastAsia="黑体"/>
        </w:rPr>
        <w:t>十、 其他重要事项的情况说明</w:t>
      </w:r>
      <w:r>
        <w:tab/>
      </w:r>
      <w:r>
        <w:fldChar w:fldCharType="begin"/>
      </w:r>
      <w:r>
        <w:instrText xml:space="preserve"> PAGEREF _Toc16959 \h </w:instrText>
      </w:r>
      <w:r>
        <w:fldChar w:fldCharType="separate"/>
      </w:r>
      <w:r>
        <w:t>13</w:t>
      </w:r>
      <w:r>
        <w:fldChar w:fldCharType="end"/>
      </w:r>
      <w:r>
        <w:fldChar w:fldCharType="end"/>
      </w:r>
    </w:p>
    <w:p w14:paraId="1F25A8FC">
      <w:pPr>
        <w:pStyle w:val="11"/>
        <w:tabs>
          <w:tab w:val="right" w:leader="dot" w:pos="8306"/>
          <w:tab w:val="clear" w:pos="8296"/>
        </w:tabs>
      </w:pPr>
      <w:r>
        <w:fldChar w:fldCharType="begin"/>
      </w:r>
      <w:r>
        <w:instrText xml:space="preserve"> HYPERLINK \l _Toc13528 </w:instrText>
      </w:r>
      <w: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_Toc13528 \h </w:instrText>
      </w:r>
      <w:r>
        <w:fldChar w:fldCharType="separate"/>
      </w:r>
      <w:r>
        <w:t>15</w:t>
      </w:r>
      <w:r>
        <w:fldChar w:fldCharType="end"/>
      </w:r>
      <w:r>
        <w:fldChar w:fldCharType="end"/>
      </w:r>
    </w:p>
    <w:p w14:paraId="06A094D7">
      <w:pPr>
        <w:pStyle w:val="11"/>
        <w:tabs>
          <w:tab w:val="right" w:leader="dot" w:pos="8306"/>
          <w:tab w:val="clear" w:pos="8296"/>
        </w:tabs>
      </w:pPr>
      <w:r>
        <w:fldChar w:fldCharType="begin"/>
      </w:r>
      <w:r>
        <w:instrText xml:space="preserve"> HYPERLINK \l _Toc19893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_Toc19893 \h </w:instrText>
      </w:r>
      <w:r>
        <w:fldChar w:fldCharType="separate"/>
      </w:r>
      <w:r>
        <w:t>18</w:t>
      </w:r>
      <w:r>
        <w:fldChar w:fldCharType="end"/>
      </w:r>
      <w:r>
        <w:fldChar w:fldCharType="end"/>
      </w:r>
    </w:p>
    <w:p w14:paraId="29F84681">
      <w:pPr>
        <w:pStyle w:val="11"/>
        <w:tabs>
          <w:tab w:val="right" w:leader="dot" w:pos="8306"/>
          <w:tab w:val="clear" w:pos="8296"/>
        </w:tabs>
      </w:pPr>
      <w:r>
        <w:fldChar w:fldCharType="begin"/>
      </w:r>
      <w:r>
        <w:instrText xml:space="preserve"> HYPERLINK \l _Toc26937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_Toc26937 \h </w:instrText>
      </w:r>
      <w:r>
        <w:fldChar w:fldCharType="separate"/>
      </w:r>
      <w:r>
        <w:t>36</w:t>
      </w:r>
      <w:r>
        <w:fldChar w:fldCharType="end"/>
      </w:r>
      <w:r>
        <w:fldChar w:fldCharType="end"/>
      </w:r>
    </w:p>
    <w:p w14:paraId="3629E017">
      <w:pPr>
        <w:pStyle w:val="12"/>
        <w:tabs>
          <w:tab w:val="right" w:leader="dot" w:pos="8306"/>
          <w:tab w:val="clear" w:pos="8296"/>
        </w:tabs>
      </w:pPr>
      <w:r>
        <w:fldChar w:fldCharType="begin"/>
      </w:r>
      <w:r>
        <w:instrText xml:space="preserve"> HYPERLINK \l _Toc6252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_Toc6252 \h </w:instrText>
      </w:r>
      <w:r>
        <w:fldChar w:fldCharType="separate"/>
      </w:r>
      <w:r>
        <w:t>36</w:t>
      </w:r>
      <w:r>
        <w:fldChar w:fldCharType="end"/>
      </w:r>
      <w:r>
        <w:fldChar w:fldCharType="end"/>
      </w:r>
    </w:p>
    <w:p w14:paraId="71645946">
      <w:pPr>
        <w:pStyle w:val="12"/>
        <w:tabs>
          <w:tab w:val="right" w:leader="dot" w:pos="8306"/>
          <w:tab w:val="clear" w:pos="8296"/>
        </w:tabs>
      </w:pPr>
      <w:r>
        <w:fldChar w:fldCharType="begin"/>
      </w:r>
      <w:r>
        <w:instrText xml:space="preserve"> HYPERLINK \l _Toc18607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_Toc18607 \h </w:instrText>
      </w:r>
      <w:r>
        <w:fldChar w:fldCharType="separate"/>
      </w:r>
      <w:r>
        <w:t>36</w:t>
      </w:r>
      <w:r>
        <w:fldChar w:fldCharType="end"/>
      </w:r>
      <w:r>
        <w:fldChar w:fldCharType="end"/>
      </w:r>
    </w:p>
    <w:p w14:paraId="56107A26">
      <w:pPr>
        <w:pStyle w:val="12"/>
        <w:tabs>
          <w:tab w:val="right" w:leader="dot" w:pos="8306"/>
          <w:tab w:val="clear" w:pos="8296"/>
        </w:tabs>
      </w:pPr>
      <w:r>
        <w:fldChar w:fldCharType="begin"/>
      </w:r>
      <w:r>
        <w:instrText xml:space="preserve"> HYPERLINK \l _Toc27584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_Toc27584 \h </w:instrText>
      </w:r>
      <w:r>
        <w:fldChar w:fldCharType="separate"/>
      </w:r>
      <w:r>
        <w:t>36</w:t>
      </w:r>
      <w:r>
        <w:fldChar w:fldCharType="end"/>
      </w:r>
      <w:r>
        <w:fldChar w:fldCharType="end"/>
      </w:r>
    </w:p>
    <w:p w14:paraId="50CC3B62">
      <w:pPr>
        <w:pStyle w:val="12"/>
        <w:tabs>
          <w:tab w:val="right" w:leader="dot" w:pos="8306"/>
          <w:tab w:val="clear" w:pos="8296"/>
        </w:tabs>
      </w:pPr>
      <w:r>
        <w:fldChar w:fldCharType="begin"/>
      </w:r>
      <w:r>
        <w:instrText xml:space="preserve"> HYPERLINK \l _Toc24238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_Toc24238 \h </w:instrText>
      </w:r>
      <w:r>
        <w:fldChar w:fldCharType="separate"/>
      </w:r>
      <w:r>
        <w:t>36</w:t>
      </w:r>
      <w:r>
        <w:fldChar w:fldCharType="end"/>
      </w:r>
      <w:r>
        <w:fldChar w:fldCharType="end"/>
      </w:r>
    </w:p>
    <w:p w14:paraId="6DAC1BFE">
      <w:pPr>
        <w:pStyle w:val="12"/>
        <w:tabs>
          <w:tab w:val="right" w:leader="dot" w:pos="8306"/>
          <w:tab w:val="clear" w:pos="8296"/>
        </w:tabs>
      </w:pPr>
      <w:r>
        <w:fldChar w:fldCharType="begin"/>
      </w:r>
      <w:r>
        <w:instrText xml:space="preserve"> HYPERLINK \l _Toc19056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_Toc19056 \h </w:instrText>
      </w:r>
      <w:r>
        <w:fldChar w:fldCharType="separate"/>
      </w:r>
      <w:r>
        <w:t>36</w:t>
      </w:r>
      <w:r>
        <w:fldChar w:fldCharType="end"/>
      </w:r>
      <w:r>
        <w:fldChar w:fldCharType="end"/>
      </w:r>
    </w:p>
    <w:p w14:paraId="03767038">
      <w:pPr>
        <w:pStyle w:val="12"/>
        <w:tabs>
          <w:tab w:val="right" w:leader="dot" w:pos="8306"/>
          <w:tab w:val="clear" w:pos="8296"/>
        </w:tabs>
      </w:pPr>
      <w:r>
        <w:fldChar w:fldCharType="begin"/>
      </w:r>
      <w:r>
        <w:instrText xml:space="preserve"> HYPERLINK \l _Toc28343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_Toc28343 \h </w:instrText>
      </w:r>
      <w:r>
        <w:fldChar w:fldCharType="separate"/>
      </w:r>
      <w:r>
        <w:t>36</w:t>
      </w:r>
      <w:r>
        <w:fldChar w:fldCharType="end"/>
      </w:r>
      <w:r>
        <w:fldChar w:fldCharType="end"/>
      </w:r>
    </w:p>
    <w:p w14:paraId="12868731">
      <w:pPr>
        <w:pStyle w:val="12"/>
        <w:tabs>
          <w:tab w:val="right" w:leader="dot" w:pos="8306"/>
          <w:tab w:val="clear" w:pos="8296"/>
        </w:tabs>
      </w:pPr>
      <w:r>
        <w:fldChar w:fldCharType="begin"/>
      </w:r>
      <w:r>
        <w:instrText xml:space="preserve"> HYPERLINK \l _Toc27564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_Toc27564 \h </w:instrText>
      </w:r>
      <w:r>
        <w:fldChar w:fldCharType="separate"/>
      </w:r>
      <w:r>
        <w:t>36</w:t>
      </w:r>
      <w:r>
        <w:fldChar w:fldCharType="end"/>
      </w:r>
      <w:r>
        <w:fldChar w:fldCharType="end"/>
      </w:r>
    </w:p>
    <w:p w14:paraId="63FBB59E">
      <w:pPr>
        <w:pStyle w:val="12"/>
        <w:tabs>
          <w:tab w:val="right" w:leader="dot" w:pos="8306"/>
          <w:tab w:val="clear" w:pos="8296"/>
        </w:tabs>
      </w:pPr>
      <w:r>
        <w:fldChar w:fldCharType="begin"/>
      </w:r>
      <w:r>
        <w:instrText xml:space="preserve"> HYPERLINK \l _Toc5668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_Toc5668 \h </w:instrText>
      </w:r>
      <w:r>
        <w:fldChar w:fldCharType="separate"/>
      </w:r>
      <w:r>
        <w:t>36</w:t>
      </w:r>
      <w:r>
        <w:fldChar w:fldCharType="end"/>
      </w:r>
      <w:r>
        <w:fldChar w:fldCharType="end"/>
      </w:r>
    </w:p>
    <w:p w14:paraId="713C580B">
      <w:pPr>
        <w:pStyle w:val="12"/>
        <w:tabs>
          <w:tab w:val="right" w:leader="dot" w:pos="8306"/>
          <w:tab w:val="clear" w:pos="8296"/>
        </w:tabs>
      </w:pPr>
      <w:r>
        <w:fldChar w:fldCharType="begin"/>
      </w:r>
      <w:r>
        <w:instrText xml:space="preserve"> HYPERLINK \l _Toc22181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_Toc22181 \h </w:instrText>
      </w:r>
      <w:r>
        <w:fldChar w:fldCharType="separate"/>
      </w:r>
      <w:r>
        <w:t>36</w:t>
      </w:r>
      <w:r>
        <w:fldChar w:fldCharType="end"/>
      </w:r>
      <w:r>
        <w:fldChar w:fldCharType="end"/>
      </w:r>
    </w:p>
    <w:p w14:paraId="7598A538">
      <w:pPr>
        <w:pStyle w:val="12"/>
        <w:tabs>
          <w:tab w:val="right" w:leader="dot" w:pos="8306"/>
          <w:tab w:val="clear" w:pos="8296"/>
        </w:tabs>
      </w:pPr>
      <w:r>
        <w:fldChar w:fldCharType="begin"/>
      </w:r>
      <w:r>
        <w:instrText xml:space="preserve"> HYPERLINK \l _Toc10651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_Toc10651 \h </w:instrText>
      </w:r>
      <w:r>
        <w:fldChar w:fldCharType="separate"/>
      </w:r>
      <w:r>
        <w:t>36</w:t>
      </w:r>
      <w:r>
        <w:fldChar w:fldCharType="end"/>
      </w:r>
      <w:r>
        <w:fldChar w:fldCharType="end"/>
      </w:r>
    </w:p>
    <w:p w14:paraId="36043EC6">
      <w:pPr>
        <w:pStyle w:val="12"/>
        <w:tabs>
          <w:tab w:val="right" w:leader="dot" w:pos="8306"/>
          <w:tab w:val="clear" w:pos="8296"/>
        </w:tabs>
      </w:pPr>
      <w:r>
        <w:fldChar w:fldCharType="begin"/>
      </w:r>
      <w:r>
        <w:instrText xml:space="preserve"> HYPERLINK \l _Toc14010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_Toc14010 \h </w:instrText>
      </w:r>
      <w:r>
        <w:fldChar w:fldCharType="separate"/>
      </w:r>
      <w:r>
        <w:t>36</w:t>
      </w:r>
      <w:r>
        <w:fldChar w:fldCharType="end"/>
      </w:r>
      <w:r>
        <w:fldChar w:fldCharType="end"/>
      </w:r>
    </w:p>
    <w:p w14:paraId="5910EEB3">
      <w:pPr>
        <w:pStyle w:val="12"/>
        <w:tabs>
          <w:tab w:val="right" w:leader="dot" w:pos="8306"/>
          <w:tab w:val="clear" w:pos="8296"/>
        </w:tabs>
      </w:pPr>
      <w:r>
        <w:fldChar w:fldCharType="begin"/>
      </w:r>
      <w:r>
        <w:instrText xml:space="preserve"> HYPERLINK \l _Toc29449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_Toc29449 \h </w:instrText>
      </w:r>
      <w:r>
        <w:fldChar w:fldCharType="separate"/>
      </w:r>
      <w:r>
        <w:t>36</w:t>
      </w:r>
      <w:r>
        <w:fldChar w:fldCharType="end"/>
      </w:r>
      <w:r>
        <w:fldChar w:fldCharType="end"/>
      </w:r>
    </w:p>
    <w:p w14:paraId="3B849930">
      <w:pPr>
        <w:pStyle w:val="12"/>
        <w:tabs>
          <w:tab w:val="right" w:leader="dot" w:pos="8306"/>
          <w:tab w:val="clear" w:pos="8296"/>
        </w:tabs>
      </w:pPr>
      <w:r>
        <w:fldChar w:fldCharType="begin"/>
      </w:r>
      <w:r>
        <w:instrText xml:space="preserve"> HYPERLINK \l _Toc29194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_Toc29194 \h </w:instrText>
      </w:r>
      <w:r>
        <w:fldChar w:fldCharType="separate"/>
      </w:r>
      <w:r>
        <w:t>36</w:t>
      </w:r>
      <w:r>
        <w:fldChar w:fldCharType="end"/>
      </w:r>
      <w:r>
        <w:fldChar w:fldCharType="end"/>
      </w:r>
    </w:p>
    <w:p w14:paraId="4EE71FA5">
      <w:r>
        <w:fldChar w:fldCharType="end"/>
      </w:r>
    </w:p>
    <w:p w14:paraId="16E517AF">
      <w:pPr>
        <w:widowControl/>
        <w:spacing w:line="440" w:lineRule="exact"/>
        <w:jc w:val="left"/>
        <w:rPr>
          <w:rFonts w:ascii="仿宋" w:hAnsi="仿宋" w:eastAsia="仿宋"/>
          <w:bCs/>
          <w:kern w:val="44"/>
          <w:sz w:val="24"/>
        </w:rPr>
      </w:pPr>
      <w:r>
        <w:rPr>
          <w:rFonts w:ascii="仿宋" w:hAnsi="仿宋" w:eastAsia="仿宋"/>
          <w:b/>
          <w:sz w:val="24"/>
        </w:rPr>
        <w:br w:type="page"/>
      </w:r>
    </w:p>
    <w:p w14:paraId="7EB50F6C">
      <w:pPr>
        <w:pStyle w:val="2"/>
        <w:jc w:val="center"/>
        <w:rPr>
          <w:rStyle w:val="27"/>
          <w:rFonts w:ascii="黑体" w:hAnsi="黑体" w:eastAsia="黑体"/>
          <w:b/>
          <w:bCs w:val="0"/>
        </w:rPr>
      </w:pPr>
      <w:bookmarkStart w:id="16" w:name="_Toc20240"/>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34C22953">
      <w:pPr>
        <w:widowControl/>
        <w:jc w:val="left"/>
        <w:rPr>
          <w:rFonts w:ascii="黑体" w:eastAsia="黑体"/>
          <w:sz w:val="32"/>
          <w:szCs w:val="32"/>
        </w:rPr>
      </w:pPr>
    </w:p>
    <w:p w14:paraId="5062A3DC">
      <w:pPr>
        <w:pStyle w:val="3"/>
        <w:numPr>
          <w:ilvl w:val="0"/>
          <w:numId w:val="1"/>
        </w:numPr>
        <w:rPr>
          <w:rStyle w:val="28"/>
          <w:rFonts w:ascii="黑体" w:hAnsi="黑体" w:eastAsia="黑体"/>
          <w:b w:val="0"/>
          <w:bCs w:val="0"/>
        </w:rPr>
      </w:pPr>
      <w:bookmarkStart w:id="17" w:name="_Toc3937"/>
      <w:bookmarkStart w:id="18" w:name="_Toc15377197"/>
      <w:bookmarkStart w:id="19" w:name="_Toc15396600"/>
      <w:r>
        <w:rPr>
          <w:rStyle w:val="28"/>
          <w:rFonts w:hint="eastAsia" w:ascii="黑体" w:hAnsi="黑体" w:eastAsia="黑体"/>
          <w:b w:val="0"/>
          <w:bCs w:val="0"/>
        </w:rPr>
        <w:t>主要职责</w:t>
      </w:r>
      <w:bookmarkEnd w:id="17"/>
    </w:p>
    <w:p w14:paraId="5C7EDD62">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单位主要职能是：在县委、县政府的领导下，贯彻执行党的路线、方针、政策和国家的各项法律、法规。按照职责范围，负责街辖区内的城乡建设和管理、镇容、村容环境卫生、园林绿化、环境保护；负责辖区内社会治安综合治理工作，维护辖区稳定；负责民事调解，法律服务工作，维护居民的合法权益；负责拥军优属、优抚安置、社会救济、社会福利、社区文化、科普、体育、教育等工作；负责计划生育、社会保险、劳动就业、安全生产管理、食品安全、民兵、兵役、扶贫等工作。负责村（社区）建设和管理，指导和帮助村（居）民委员会搞好组织建设和制度建设，发挥村（居）委会的群众自治组织作用。</w:t>
      </w:r>
    </w:p>
    <w:p w14:paraId="7998C7A1">
      <w:pPr>
        <w:pStyle w:val="3"/>
        <w:numPr>
          <w:ilvl w:val="0"/>
          <w:numId w:val="1"/>
        </w:numPr>
        <w:ind w:left="0" w:leftChars="0" w:firstLine="0" w:firstLineChars="0"/>
        <w:rPr>
          <w:rFonts w:hint="eastAsia" w:ascii="黑体" w:hAnsi="黑体" w:eastAsia="黑体"/>
          <w:b w:val="0"/>
        </w:rPr>
      </w:pPr>
      <w:bookmarkStart w:id="20" w:name="_Toc15089"/>
      <w:r>
        <w:rPr>
          <w:rFonts w:hint="eastAsia" w:ascii="黑体" w:hAnsi="黑体" w:eastAsia="黑体"/>
          <w:b w:val="0"/>
        </w:rPr>
        <w:t>机构设置</w:t>
      </w:r>
      <w:bookmarkEnd w:id="20"/>
    </w:p>
    <w:p w14:paraId="1CDB43C2">
      <w:pPr>
        <w:snapToGrid w:val="0"/>
        <w:spacing w:line="520" w:lineRule="exact"/>
        <w:ind w:firstLine="640" w:firstLineChars="200"/>
        <w:rPr>
          <w:rFonts w:hint="eastAsia"/>
          <w:sz w:val="32"/>
          <w:szCs w:val="32"/>
          <w:highlight w:val="none"/>
        </w:rPr>
      </w:pPr>
      <w:r>
        <w:rPr>
          <w:rFonts w:hint="eastAsia" w:ascii="仿宋" w:hAnsi="仿宋" w:eastAsia="仿宋" w:cs="仿宋"/>
          <w:sz w:val="32"/>
          <w:szCs w:val="32"/>
        </w:rPr>
        <w:t>泸县毗卢镇人民政府(本级）属于一级预算单位，其中行政单位1个</w:t>
      </w:r>
      <w:r>
        <w:rPr>
          <w:rFonts w:hint="eastAsia" w:ascii="仿宋" w:hAnsi="仿宋" w:eastAsia="仿宋" w:cs="仿宋"/>
          <w:sz w:val="32"/>
          <w:szCs w:val="32"/>
          <w:lang w:eastAsia="zh-CN"/>
        </w:rPr>
        <w:t>，</w:t>
      </w:r>
      <w:r>
        <w:rPr>
          <w:rFonts w:hint="eastAsia" w:ascii="仿宋" w:hAnsi="仿宋" w:eastAsia="仿宋" w:cs="仿宋"/>
          <w:sz w:val="32"/>
          <w:szCs w:val="32"/>
        </w:rPr>
        <w:t>与上年相比未有变动</w:t>
      </w:r>
      <w:r>
        <w:rPr>
          <w:rFonts w:hint="eastAsia" w:ascii="仿宋" w:hAnsi="仿宋" w:eastAsia="仿宋" w:cs="仿宋"/>
          <w:sz w:val="32"/>
          <w:szCs w:val="32"/>
          <w:lang w:eastAsia="zh-CN"/>
        </w:rPr>
        <w:t>。</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年行政人员编制</w:t>
      </w:r>
      <w:r>
        <w:rPr>
          <w:rFonts w:hint="eastAsia" w:ascii="仿宋" w:hAnsi="仿宋" w:eastAsia="仿宋" w:cs="仿宋"/>
          <w:sz w:val="32"/>
          <w:szCs w:val="32"/>
          <w:highlight w:val="none"/>
          <w:lang w:val="en-US" w:eastAsia="zh-CN"/>
        </w:rPr>
        <w:t>39</w:t>
      </w:r>
      <w:r>
        <w:rPr>
          <w:rFonts w:hint="eastAsia" w:ascii="仿宋" w:hAnsi="仿宋" w:eastAsia="仿宋" w:cs="仿宋"/>
          <w:sz w:val="32"/>
          <w:szCs w:val="32"/>
          <w:highlight w:val="none"/>
        </w:rPr>
        <w:t>人，事业单位编制</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人。</w:t>
      </w:r>
    </w:p>
    <w:p w14:paraId="70106BA5">
      <w:pPr>
        <w:pStyle w:val="18"/>
      </w:pPr>
    </w:p>
    <w:bookmarkEnd w:id="18"/>
    <w:bookmarkEnd w:id="19"/>
    <w:p w14:paraId="56D475FA">
      <w:pPr>
        <w:widowControl/>
        <w:jc w:val="left"/>
        <w:rPr>
          <w:rFonts w:ascii="仿宋" w:hAnsi="仿宋" w:eastAsia="仿宋"/>
          <w:kern w:val="0"/>
          <w:sz w:val="32"/>
          <w:szCs w:val="32"/>
        </w:rPr>
      </w:pPr>
      <w:r>
        <w:rPr>
          <w:rFonts w:ascii="仿宋" w:hAnsi="仿宋" w:eastAsia="仿宋"/>
          <w:sz w:val="32"/>
          <w:szCs w:val="32"/>
        </w:rPr>
        <w:br w:type="page"/>
      </w:r>
    </w:p>
    <w:p w14:paraId="08416043">
      <w:pPr>
        <w:pStyle w:val="2"/>
        <w:ind w:right="440"/>
        <w:jc w:val="center"/>
      </w:pPr>
      <w:bookmarkStart w:id="21" w:name="_Toc15396602"/>
      <w:bookmarkStart w:id="22" w:name="_Toc15377204"/>
      <w:bookmarkStart w:id="23" w:name="_Toc24045"/>
      <w:r>
        <w:rPr>
          <w:rFonts w:hint="eastAsia" w:ascii="黑体" w:hAnsi="黑体" w:eastAsia="黑体"/>
          <w:b w:val="0"/>
        </w:rPr>
        <w:t>第二部分 2023年度</w:t>
      </w:r>
      <w:r>
        <w:rPr>
          <w:rStyle w:val="27"/>
          <w:rFonts w:hint="eastAsia" w:ascii="黑体" w:hAnsi="黑体" w:eastAsia="黑体"/>
          <w:b w:val="0"/>
          <w:bCs/>
        </w:rPr>
        <w:t>单位决算情况说明</w:t>
      </w:r>
      <w:bookmarkEnd w:id="21"/>
      <w:bookmarkEnd w:id="22"/>
      <w:bookmarkEnd w:id="23"/>
    </w:p>
    <w:p w14:paraId="6E637B23">
      <w:pPr>
        <w:pStyle w:val="26"/>
        <w:numPr>
          <w:ilvl w:val="0"/>
          <w:numId w:val="2"/>
        </w:numPr>
        <w:spacing w:line="600" w:lineRule="exact"/>
        <w:ind w:firstLineChars="0"/>
        <w:outlineLvl w:val="1"/>
        <w:rPr>
          <w:rStyle w:val="28"/>
          <w:rFonts w:ascii="黑体" w:hAnsi="黑体" w:eastAsia="黑体"/>
          <w:b w:val="0"/>
        </w:rPr>
      </w:pPr>
      <w:bookmarkStart w:id="24" w:name="_Toc611"/>
      <w:bookmarkStart w:id="25" w:name="_Toc15377205"/>
      <w:bookmarkStart w:id="26"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14:paraId="02B525C5">
      <w:pPr>
        <w:spacing w:line="600" w:lineRule="exact"/>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rPr>
        <w:t>2023年度收、支总计均为3275.89万元。与2022年度相比，收、支总计各增加</w:t>
      </w:r>
      <w:r>
        <w:rPr>
          <w:rFonts w:hint="eastAsia" w:ascii="仿宋" w:hAnsi="仿宋" w:eastAsia="仿宋"/>
          <w:b w:val="0"/>
          <w:bCs w:val="0"/>
          <w:sz w:val="32"/>
          <w:szCs w:val="32"/>
          <w:lang w:val="en-US" w:eastAsia="zh-CN"/>
        </w:rPr>
        <w:t>1170.88</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55.62</w:t>
      </w:r>
      <w:r>
        <w:rPr>
          <w:rFonts w:ascii="仿宋" w:hAnsi="仿宋" w:eastAsia="仿宋"/>
          <w:b w:val="0"/>
          <w:bCs w:val="0"/>
          <w:sz w:val="32"/>
          <w:szCs w:val="32"/>
        </w:rPr>
        <w:t>%</w:t>
      </w:r>
      <w:r>
        <w:rPr>
          <w:rFonts w:hint="eastAsia" w:ascii="仿宋" w:hAnsi="仿宋" w:eastAsia="仿宋"/>
          <w:b w:val="0"/>
          <w:bCs w:val="0"/>
          <w:sz w:val="32"/>
          <w:szCs w:val="32"/>
        </w:rPr>
        <w:t>。主要变动原因</w:t>
      </w:r>
      <w:r>
        <w:rPr>
          <w:rFonts w:hint="eastAsia" w:ascii="仿宋" w:hAnsi="仿宋" w:eastAsia="仿宋"/>
          <w:b w:val="0"/>
          <w:bCs w:val="0"/>
          <w:sz w:val="32"/>
          <w:szCs w:val="32"/>
          <w:lang w:val="en-US" w:eastAsia="zh-CN"/>
        </w:rPr>
        <w:t>是本年增加</w:t>
      </w:r>
      <w:r>
        <w:rPr>
          <w:rFonts w:hint="eastAsia" w:ascii="仿宋" w:hAnsi="仿宋" w:eastAsia="仿宋"/>
          <w:b w:val="0"/>
          <w:bCs w:val="0"/>
          <w:sz w:val="32"/>
          <w:szCs w:val="32"/>
        </w:rPr>
        <w:t>政府性基金预算财政拨款收入</w:t>
      </w:r>
      <w:r>
        <w:rPr>
          <w:rFonts w:ascii="仿宋" w:hAnsi="仿宋" w:eastAsia="仿宋"/>
          <w:b w:val="0"/>
          <w:bCs w:val="0"/>
          <w:sz w:val="32"/>
          <w:szCs w:val="32"/>
        </w:rPr>
        <w:t>968.07</w:t>
      </w:r>
      <w:r>
        <w:rPr>
          <w:rFonts w:hint="eastAsia" w:ascii="仿宋" w:hAnsi="仿宋" w:eastAsia="仿宋"/>
          <w:b w:val="0"/>
          <w:bCs w:val="0"/>
          <w:sz w:val="32"/>
          <w:szCs w:val="32"/>
        </w:rPr>
        <w:t>万元</w:t>
      </w:r>
      <w:r>
        <w:rPr>
          <w:rFonts w:hint="eastAsia" w:ascii="仿宋" w:hAnsi="仿宋" w:eastAsia="仿宋"/>
          <w:b w:val="0"/>
          <w:bCs w:val="0"/>
          <w:sz w:val="32"/>
          <w:szCs w:val="32"/>
          <w:lang w:val="en-US" w:eastAsia="zh-CN"/>
        </w:rPr>
        <w:t>和项目资金。</w:t>
      </w:r>
    </w:p>
    <w:p w14:paraId="36FF613C">
      <w:pPr>
        <w:spacing w:line="600" w:lineRule="exact"/>
        <w:ind w:firstLine="420" w:firstLineChars="200"/>
        <w:rPr>
          <w:rFonts w:hint="default" w:ascii="仿宋" w:hAnsi="仿宋" w:eastAsia="仿宋"/>
          <w:sz w:val="32"/>
          <w:szCs w:val="32"/>
          <w:lang w:val="en-US" w:eastAsia="zh-CN"/>
        </w:rPr>
      </w:pPr>
      <w:r>
        <w:drawing>
          <wp:anchor distT="0" distB="0" distL="114300" distR="114300" simplePos="0" relativeHeight="251659264" behindDoc="0" locked="0" layoutInCell="1" allowOverlap="1">
            <wp:simplePos x="0" y="0"/>
            <wp:positionH relativeFrom="column">
              <wp:posOffset>461645</wp:posOffset>
            </wp:positionH>
            <wp:positionV relativeFrom="paragraph">
              <wp:posOffset>243840</wp:posOffset>
            </wp:positionV>
            <wp:extent cx="4374515" cy="2225675"/>
            <wp:effectExtent l="4445" t="4445" r="21590" b="17780"/>
            <wp:wrapTopAndBottom/>
            <wp:docPr id="106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DAA88A5">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02B8AE89">
      <w:pPr>
        <w:spacing w:line="600" w:lineRule="exact"/>
        <w:ind w:firstLine="640" w:firstLineChars="200"/>
        <w:jc w:val="left"/>
        <w:rPr>
          <w:rFonts w:ascii="仿宋_GB2312" w:eastAsia="仿宋_GB2312"/>
          <w:sz w:val="32"/>
          <w:szCs w:val="32"/>
        </w:rPr>
      </w:pPr>
    </w:p>
    <w:p w14:paraId="18F3BD3E">
      <w:pPr>
        <w:pStyle w:val="26"/>
        <w:numPr>
          <w:ilvl w:val="0"/>
          <w:numId w:val="2"/>
        </w:numPr>
        <w:spacing w:line="600" w:lineRule="exact"/>
        <w:ind w:firstLineChars="0"/>
        <w:outlineLvl w:val="1"/>
        <w:rPr>
          <w:rStyle w:val="28"/>
          <w:rFonts w:ascii="黑体" w:hAnsi="黑体" w:eastAsia="黑体"/>
          <w:b w:val="0"/>
        </w:rPr>
      </w:pPr>
      <w:bookmarkStart w:id="27" w:name="_Toc12659"/>
      <w:bookmarkStart w:id="28" w:name="_Toc15377206"/>
      <w:bookmarkStart w:id="29" w:name="_Toc15396604"/>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14:paraId="600E8779">
      <w:pPr>
        <w:spacing w:line="600" w:lineRule="exact"/>
        <w:ind w:firstLine="640" w:firstLineChars="200"/>
        <w:outlineLvl w:val="1"/>
        <w:rPr>
          <w:rFonts w:hint="eastAsia" w:ascii="仿宋" w:hAnsi="仿宋" w:eastAsia="仿宋"/>
          <w:b w:val="0"/>
          <w:bCs w:val="0"/>
          <w:sz w:val="32"/>
          <w:szCs w:val="32"/>
          <w:lang w:val="en-US" w:eastAsia="zh-CN"/>
        </w:rPr>
      </w:pPr>
      <w:bookmarkStart w:id="30" w:name="_Toc16601"/>
      <w:r>
        <w:rPr>
          <w:rFonts w:hint="eastAsia" w:ascii="仿宋" w:hAnsi="仿宋" w:eastAsia="仿宋"/>
          <w:b w:val="0"/>
          <w:bCs w:val="0"/>
          <w:sz w:val="32"/>
          <w:szCs w:val="32"/>
        </w:rPr>
        <w:t>2023年度本年收入合计</w:t>
      </w:r>
      <w:r>
        <w:rPr>
          <w:rFonts w:ascii="仿宋" w:hAnsi="仿宋" w:eastAsia="仿宋"/>
          <w:b w:val="0"/>
          <w:bCs w:val="0"/>
          <w:sz w:val="32"/>
          <w:szCs w:val="32"/>
        </w:rPr>
        <w:t>3209.87</w:t>
      </w:r>
      <w:r>
        <w:rPr>
          <w:rFonts w:hint="eastAsia" w:ascii="仿宋" w:hAnsi="仿宋" w:eastAsia="仿宋"/>
          <w:b w:val="0"/>
          <w:bCs w:val="0"/>
          <w:sz w:val="32"/>
          <w:szCs w:val="32"/>
        </w:rPr>
        <w:t>万元，其中：一般公共预算财政拨款收入</w:t>
      </w:r>
      <w:r>
        <w:rPr>
          <w:rFonts w:ascii="仿宋" w:hAnsi="仿宋" w:eastAsia="仿宋"/>
          <w:b w:val="0"/>
          <w:bCs w:val="0"/>
          <w:sz w:val="32"/>
          <w:szCs w:val="32"/>
        </w:rPr>
        <w:t>2241.79</w:t>
      </w:r>
      <w:r>
        <w:rPr>
          <w:rFonts w:hint="eastAsia" w:ascii="仿宋" w:hAnsi="仿宋" w:eastAsia="仿宋"/>
          <w:b w:val="0"/>
          <w:bCs w:val="0"/>
          <w:sz w:val="32"/>
          <w:szCs w:val="32"/>
        </w:rPr>
        <w:t>万元，占</w:t>
      </w:r>
      <w:r>
        <w:rPr>
          <w:rFonts w:ascii="仿宋" w:hAnsi="仿宋" w:eastAsia="仿宋"/>
          <w:b w:val="0"/>
          <w:bCs w:val="0"/>
          <w:sz w:val="32"/>
          <w:szCs w:val="32"/>
        </w:rPr>
        <w:t>69.84%</w:t>
      </w:r>
      <w:r>
        <w:rPr>
          <w:rFonts w:hint="eastAsia" w:ascii="仿宋" w:hAnsi="仿宋" w:eastAsia="仿宋"/>
          <w:b w:val="0"/>
          <w:bCs w:val="0"/>
          <w:sz w:val="32"/>
          <w:szCs w:val="32"/>
        </w:rPr>
        <w:t>；政府性基金预算财政拨款收入</w:t>
      </w:r>
      <w:r>
        <w:rPr>
          <w:rFonts w:ascii="仿宋" w:hAnsi="仿宋" w:eastAsia="仿宋"/>
          <w:b w:val="0"/>
          <w:bCs w:val="0"/>
          <w:sz w:val="32"/>
          <w:szCs w:val="32"/>
        </w:rPr>
        <w:t>968.07</w:t>
      </w:r>
      <w:r>
        <w:rPr>
          <w:rFonts w:hint="eastAsia" w:ascii="仿宋" w:hAnsi="仿宋" w:eastAsia="仿宋"/>
          <w:b w:val="0"/>
          <w:bCs w:val="0"/>
          <w:sz w:val="32"/>
          <w:szCs w:val="32"/>
        </w:rPr>
        <w:t>万元，占</w:t>
      </w:r>
      <w:r>
        <w:rPr>
          <w:rFonts w:ascii="仿宋" w:hAnsi="仿宋" w:eastAsia="仿宋"/>
          <w:b w:val="0"/>
          <w:bCs w:val="0"/>
          <w:sz w:val="32"/>
          <w:szCs w:val="32"/>
        </w:rPr>
        <w:t>30.1</w:t>
      </w:r>
      <w:r>
        <w:rPr>
          <w:rFonts w:hint="eastAsia" w:ascii="仿宋" w:hAnsi="仿宋" w:eastAsia="仿宋"/>
          <w:b w:val="0"/>
          <w:bCs w:val="0"/>
          <w:sz w:val="32"/>
          <w:szCs w:val="32"/>
          <w:lang w:val="en-US" w:eastAsia="zh-CN"/>
        </w:rPr>
        <w:t>6</w:t>
      </w:r>
      <w:r>
        <w:rPr>
          <w:rFonts w:ascii="仿宋" w:hAnsi="仿宋" w:eastAsia="仿宋"/>
          <w:b w:val="0"/>
          <w:bCs w:val="0"/>
          <w:sz w:val="32"/>
          <w:szCs w:val="32"/>
        </w:rPr>
        <w:t>%</w:t>
      </w:r>
      <w:r>
        <w:rPr>
          <w:rFonts w:hint="eastAsia" w:ascii="仿宋" w:hAnsi="仿宋" w:eastAsia="仿宋"/>
          <w:b w:val="0"/>
          <w:bCs w:val="0"/>
          <w:sz w:val="32"/>
          <w:szCs w:val="32"/>
        </w:rPr>
        <w:t>；国有资本经营预算财政拨款收入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；上级补助收入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；事业收入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；经营收入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；附</w:t>
      </w:r>
      <w:r>
        <w:rPr>
          <w:b w:val="0"/>
          <w:bCs w:val="0"/>
        </w:rPr>
        <w:drawing>
          <wp:anchor distT="0" distB="0" distL="114300" distR="114300" simplePos="0" relativeHeight="251660288" behindDoc="0" locked="0" layoutInCell="1" allowOverlap="1">
            <wp:simplePos x="0" y="0"/>
            <wp:positionH relativeFrom="column">
              <wp:posOffset>452755</wp:posOffset>
            </wp:positionH>
            <wp:positionV relativeFrom="paragraph">
              <wp:posOffset>1167130</wp:posOffset>
            </wp:positionV>
            <wp:extent cx="4302760" cy="2442845"/>
            <wp:effectExtent l="4445" t="5080" r="17145" b="9525"/>
            <wp:wrapTopAndBottom/>
            <wp:docPr id="106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val="0"/>
          <w:bCs w:val="0"/>
          <w:sz w:val="32"/>
          <w:szCs w:val="32"/>
        </w:rPr>
        <w:t>属单位上缴收入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；其他收入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lang w:val="en-US" w:eastAsia="zh-CN"/>
        </w:rPr>
        <w:t>%</w:t>
      </w:r>
      <w:bookmarkEnd w:id="30"/>
      <w:r>
        <w:rPr>
          <w:rFonts w:hint="eastAsia" w:ascii="仿宋" w:hAnsi="仿宋" w:eastAsia="仿宋"/>
          <w:b w:val="0"/>
          <w:bCs w:val="0"/>
          <w:sz w:val="32"/>
          <w:szCs w:val="32"/>
          <w:lang w:val="en-US" w:eastAsia="zh-CN"/>
        </w:rPr>
        <w:t>。</w:t>
      </w:r>
    </w:p>
    <w:p w14:paraId="322F4F6F">
      <w:pPr>
        <w:spacing w:line="600" w:lineRule="exact"/>
        <w:outlineLvl w:val="1"/>
        <w:rPr>
          <w:rFonts w:ascii="仿宋" w:hAnsi="仿宋" w:eastAsia="仿宋"/>
          <w:b/>
          <w:sz w:val="32"/>
          <w:szCs w:val="32"/>
        </w:rPr>
      </w:pPr>
    </w:p>
    <w:p w14:paraId="4F820B8A">
      <w:pPr>
        <w:spacing w:line="600" w:lineRule="exact"/>
        <w:outlineLvl w:val="1"/>
        <w:rPr>
          <w:rFonts w:ascii="仿宋" w:hAnsi="仿宋" w:eastAsia="仿宋"/>
          <w:sz w:val="32"/>
          <w:szCs w:val="32"/>
        </w:rPr>
      </w:pPr>
    </w:p>
    <w:p w14:paraId="2142CCCE">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14:paraId="3B1A57D0">
      <w:pPr>
        <w:pStyle w:val="26"/>
        <w:numPr>
          <w:ilvl w:val="0"/>
          <w:numId w:val="2"/>
        </w:numPr>
        <w:spacing w:line="600" w:lineRule="exact"/>
        <w:ind w:firstLineChars="0"/>
        <w:outlineLvl w:val="1"/>
        <w:rPr>
          <w:rStyle w:val="28"/>
          <w:rFonts w:ascii="黑体" w:hAnsi="黑体" w:eastAsia="黑体"/>
          <w:b w:val="0"/>
        </w:rPr>
      </w:pPr>
      <w:bookmarkStart w:id="31" w:name="_Toc14452"/>
      <w:bookmarkStart w:id="32" w:name="_Toc15377207"/>
      <w:bookmarkStart w:id="33" w:name="_Toc15396605"/>
      <w:r>
        <w:rPr>
          <w:rFonts w:hint="eastAsia" w:ascii="黑体" w:hAnsi="黑体" w:eastAsia="黑体"/>
          <w:sz w:val="32"/>
          <w:szCs w:val="32"/>
        </w:rPr>
        <w:t>支</w:t>
      </w:r>
      <w:r>
        <w:rPr>
          <w:rStyle w:val="28"/>
          <w:rFonts w:hint="eastAsia" w:ascii="黑体" w:hAnsi="黑体" w:eastAsia="黑体"/>
          <w:b w:val="0"/>
        </w:rPr>
        <w:t>出决算情况说明</w:t>
      </w:r>
      <w:bookmarkEnd w:id="31"/>
      <w:bookmarkEnd w:id="32"/>
      <w:bookmarkEnd w:id="33"/>
    </w:p>
    <w:p w14:paraId="60D18832">
      <w:pPr>
        <w:spacing w:line="600" w:lineRule="exact"/>
        <w:ind w:firstLine="640" w:firstLineChars="200"/>
        <w:outlineLvl w:val="1"/>
        <w:rPr>
          <w:rFonts w:ascii="仿宋" w:hAnsi="仿宋" w:eastAsia="仿宋"/>
          <w:b w:val="0"/>
          <w:bCs w:val="0"/>
          <w:sz w:val="32"/>
          <w:szCs w:val="32"/>
        </w:rPr>
      </w:pPr>
      <w:bookmarkStart w:id="34" w:name="_Toc29633"/>
      <w:r>
        <w:rPr>
          <w:rFonts w:hint="eastAsia" w:ascii="仿宋" w:hAnsi="仿宋" w:eastAsia="仿宋"/>
          <w:b w:val="0"/>
          <w:bCs w:val="0"/>
          <w:sz w:val="32"/>
          <w:szCs w:val="32"/>
        </w:rPr>
        <w:t>2023年度本年支出合计</w:t>
      </w:r>
      <w:r>
        <w:rPr>
          <w:rFonts w:ascii="仿宋" w:hAnsi="仿宋" w:eastAsia="仿宋"/>
          <w:b w:val="0"/>
          <w:bCs w:val="0"/>
          <w:sz w:val="32"/>
          <w:szCs w:val="32"/>
        </w:rPr>
        <w:t>3275.89</w:t>
      </w:r>
      <w:r>
        <w:rPr>
          <w:rFonts w:hint="eastAsia" w:ascii="仿宋" w:hAnsi="仿宋" w:eastAsia="仿宋"/>
          <w:b w:val="0"/>
          <w:bCs w:val="0"/>
          <w:sz w:val="32"/>
          <w:szCs w:val="32"/>
        </w:rPr>
        <w:t>万元，其中：基本支出</w:t>
      </w:r>
      <w:r>
        <w:rPr>
          <w:rFonts w:ascii="仿宋" w:hAnsi="仿宋" w:eastAsia="仿宋"/>
          <w:b w:val="0"/>
          <w:bCs w:val="0"/>
          <w:sz w:val="32"/>
          <w:szCs w:val="32"/>
        </w:rPr>
        <w:t>1655.87</w:t>
      </w:r>
      <w:r>
        <w:rPr>
          <w:rFonts w:hint="eastAsia" w:ascii="仿宋" w:hAnsi="仿宋" w:eastAsia="仿宋"/>
          <w:b w:val="0"/>
          <w:bCs w:val="0"/>
          <w:sz w:val="32"/>
          <w:szCs w:val="32"/>
        </w:rPr>
        <w:t>万元，占</w:t>
      </w:r>
      <w:r>
        <w:rPr>
          <w:rFonts w:ascii="仿宋" w:hAnsi="仿宋" w:eastAsia="仿宋"/>
          <w:b w:val="0"/>
          <w:bCs w:val="0"/>
          <w:sz w:val="32"/>
          <w:szCs w:val="32"/>
        </w:rPr>
        <w:t>50.5</w:t>
      </w:r>
      <w:r>
        <w:rPr>
          <w:rFonts w:hint="eastAsia" w:ascii="仿宋" w:hAnsi="仿宋" w:eastAsia="仿宋"/>
          <w:b w:val="0"/>
          <w:bCs w:val="0"/>
          <w:sz w:val="32"/>
          <w:szCs w:val="32"/>
          <w:lang w:val="en-US" w:eastAsia="zh-CN"/>
        </w:rPr>
        <w:t>5</w:t>
      </w:r>
      <w:r>
        <w:rPr>
          <w:rFonts w:ascii="仿宋" w:hAnsi="仿宋" w:eastAsia="仿宋"/>
          <w:b w:val="0"/>
          <w:bCs w:val="0"/>
          <w:sz w:val="32"/>
          <w:szCs w:val="32"/>
        </w:rPr>
        <w:t>%</w:t>
      </w:r>
      <w:r>
        <w:rPr>
          <w:rFonts w:hint="eastAsia" w:ascii="仿宋" w:hAnsi="仿宋" w:eastAsia="仿宋"/>
          <w:b w:val="0"/>
          <w:bCs w:val="0"/>
          <w:sz w:val="32"/>
          <w:szCs w:val="32"/>
        </w:rPr>
        <w:t>；项目支出</w:t>
      </w:r>
      <w:r>
        <w:rPr>
          <w:rFonts w:ascii="仿宋" w:hAnsi="仿宋" w:eastAsia="仿宋"/>
          <w:b w:val="0"/>
          <w:bCs w:val="0"/>
          <w:sz w:val="32"/>
          <w:szCs w:val="32"/>
        </w:rPr>
        <w:t>1620.01</w:t>
      </w:r>
      <w:r>
        <w:rPr>
          <w:rFonts w:hint="eastAsia" w:ascii="仿宋" w:hAnsi="仿宋" w:eastAsia="仿宋"/>
          <w:b w:val="0"/>
          <w:bCs w:val="0"/>
          <w:sz w:val="32"/>
          <w:szCs w:val="32"/>
        </w:rPr>
        <w:t>万元，占</w:t>
      </w:r>
      <w:r>
        <w:rPr>
          <w:rFonts w:ascii="仿宋" w:hAnsi="仿宋" w:eastAsia="仿宋"/>
          <w:b w:val="0"/>
          <w:bCs w:val="0"/>
          <w:sz w:val="32"/>
          <w:szCs w:val="32"/>
        </w:rPr>
        <w:t>49.45%</w:t>
      </w:r>
      <w:r>
        <w:rPr>
          <w:rFonts w:hint="eastAsia" w:ascii="仿宋" w:hAnsi="仿宋" w:eastAsia="仿宋"/>
          <w:b w:val="0"/>
          <w:bCs w:val="0"/>
          <w:sz w:val="32"/>
          <w:szCs w:val="32"/>
        </w:rPr>
        <w:t>；上缴上级支出</w:t>
      </w:r>
      <w:r>
        <w:rPr>
          <w:rFonts w:ascii="仿宋" w:hAnsi="仿宋" w:eastAsia="仿宋"/>
          <w:b w:val="0"/>
          <w:bCs w:val="0"/>
          <w:sz w:val="32"/>
          <w:szCs w:val="32"/>
        </w:rPr>
        <w:t>0</w:t>
      </w:r>
      <w:r>
        <w:rPr>
          <w:rFonts w:hint="eastAsia" w:ascii="仿宋" w:hAnsi="仿宋" w:eastAsia="仿宋"/>
          <w:b w:val="0"/>
          <w:bCs w:val="0"/>
          <w:sz w:val="32"/>
          <w:szCs w:val="32"/>
        </w:rPr>
        <w:t>万元，占0</w:t>
      </w:r>
      <w:r>
        <w:rPr>
          <w:rFonts w:ascii="仿宋" w:hAnsi="仿宋" w:eastAsia="仿宋"/>
          <w:b w:val="0"/>
          <w:bCs w:val="0"/>
          <w:sz w:val="32"/>
          <w:szCs w:val="32"/>
        </w:rPr>
        <w:t>%</w:t>
      </w:r>
      <w:r>
        <w:rPr>
          <w:rFonts w:hint="eastAsia" w:ascii="仿宋" w:hAnsi="仿宋" w:eastAsia="仿宋"/>
          <w:b w:val="0"/>
          <w:bCs w:val="0"/>
          <w:sz w:val="32"/>
          <w:szCs w:val="32"/>
        </w:rPr>
        <w:t>；经营支出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；对附属单位补助支出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w:t>
      </w:r>
      <w:bookmarkEnd w:id="34"/>
    </w:p>
    <w:p w14:paraId="3B338CA7">
      <w:pPr>
        <w:spacing w:line="600" w:lineRule="exact"/>
        <w:ind w:firstLine="420" w:firstLineChars="200"/>
        <w:outlineLvl w:val="1"/>
        <w:rPr>
          <w:rFonts w:ascii="仿宋" w:hAnsi="仿宋" w:eastAsia="仿宋"/>
          <w:sz w:val="32"/>
          <w:szCs w:val="32"/>
          <w:shd w:val="pct10" w:color="auto" w:fill="FFFFFF"/>
        </w:rPr>
      </w:pPr>
      <w:bookmarkStart w:id="35" w:name="_Toc173"/>
      <w:r>
        <w:drawing>
          <wp:anchor distT="0" distB="0" distL="114300" distR="114300" simplePos="0" relativeHeight="251661312" behindDoc="0" locked="0" layoutInCell="1" allowOverlap="1">
            <wp:simplePos x="0" y="0"/>
            <wp:positionH relativeFrom="column">
              <wp:posOffset>631825</wp:posOffset>
            </wp:positionH>
            <wp:positionV relativeFrom="paragraph">
              <wp:posOffset>526415</wp:posOffset>
            </wp:positionV>
            <wp:extent cx="4123690" cy="1871345"/>
            <wp:effectExtent l="4445" t="4445" r="12065" b="16510"/>
            <wp:wrapTopAndBottom/>
            <wp:docPr id="1069" name="图表 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5"/>
    </w:p>
    <w:p w14:paraId="62116851">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14:paraId="67F771B2">
      <w:pPr>
        <w:spacing w:line="600" w:lineRule="exact"/>
        <w:ind w:firstLine="640" w:firstLineChars="200"/>
        <w:outlineLvl w:val="1"/>
        <w:rPr>
          <w:rStyle w:val="28"/>
          <w:rFonts w:ascii="黑体" w:hAnsi="黑体" w:eastAsia="黑体"/>
          <w:b w:val="0"/>
        </w:rPr>
      </w:pPr>
      <w:bookmarkStart w:id="36" w:name="_Toc13981"/>
      <w:bookmarkStart w:id="37" w:name="_Toc15377208"/>
      <w:bookmarkStart w:id="38"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6"/>
      <w:bookmarkEnd w:id="37"/>
      <w:bookmarkEnd w:id="38"/>
    </w:p>
    <w:p w14:paraId="7D66D99C">
      <w:pPr>
        <w:spacing w:line="600" w:lineRule="exact"/>
        <w:ind w:firstLine="640" w:firstLineChars="200"/>
        <w:rPr>
          <w:rFonts w:ascii="仿宋" w:hAnsi="仿宋" w:eastAsia="仿宋"/>
          <w:b/>
          <w:sz w:val="32"/>
          <w:szCs w:val="32"/>
        </w:rPr>
      </w:pPr>
      <w:r>
        <w:rPr>
          <w:rFonts w:hint="eastAsia" w:ascii="仿宋" w:hAnsi="仿宋" w:eastAsia="仿宋"/>
          <w:b w:val="0"/>
          <w:bCs w:val="0"/>
          <w:sz w:val="32"/>
          <w:szCs w:val="32"/>
        </w:rPr>
        <w:t>2023年度财政拨款收、支总计均为3275.89万元。与2022年度相比，收、支总计各增加</w:t>
      </w:r>
      <w:r>
        <w:rPr>
          <w:rFonts w:hint="eastAsia" w:ascii="仿宋" w:hAnsi="仿宋" w:eastAsia="仿宋"/>
          <w:b w:val="0"/>
          <w:bCs w:val="0"/>
          <w:sz w:val="32"/>
          <w:szCs w:val="32"/>
          <w:lang w:val="en-US" w:eastAsia="zh-CN"/>
        </w:rPr>
        <w:t>1170.88</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55.62</w:t>
      </w:r>
      <w:r>
        <w:rPr>
          <w:rFonts w:hint="eastAsia" w:ascii="仿宋" w:hAnsi="仿宋" w:eastAsia="仿宋"/>
          <w:b w:val="0"/>
          <w:bCs w:val="0"/>
          <w:sz w:val="32"/>
          <w:szCs w:val="32"/>
        </w:rPr>
        <w:t>%。主要变动原因</w:t>
      </w:r>
      <w:r>
        <w:rPr>
          <w:rFonts w:hint="eastAsia" w:ascii="仿宋" w:hAnsi="仿宋" w:eastAsia="仿宋"/>
          <w:b w:val="0"/>
          <w:bCs w:val="0"/>
          <w:sz w:val="32"/>
          <w:szCs w:val="32"/>
          <w:lang w:val="en-US" w:eastAsia="zh-CN"/>
        </w:rPr>
        <w:t>是本年增加</w:t>
      </w:r>
      <w:r>
        <w:rPr>
          <w:rFonts w:hint="eastAsia" w:ascii="仿宋" w:hAnsi="仿宋" w:eastAsia="仿宋"/>
          <w:b w:val="0"/>
          <w:bCs w:val="0"/>
          <w:sz w:val="32"/>
          <w:szCs w:val="32"/>
        </w:rPr>
        <w:t>政府性基金预算财政拨款收入968.07万元</w:t>
      </w:r>
      <w:r>
        <w:rPr>
          <w:rFonts w:hint="eastAsia" w:ascii="仿宋" w:hAnsi="仿宋" w:eastAsia="仿宋"/>
          <w:b w:val="0"/>
          <w:bCs w:val="0"/>
          <w:sz w:val="32"/>
          <w:szCs w:val="32"/>
          <w:lang w:val="en-US" w:eastAsia="zh-CN"/>
        </w:rPr>
        <w:t>和项目资金。</w:t>
      </w:r>
    </w:p>
    <w:p w14:paraId="132B2390">
      <w:pPr>
        <w:spacing w:line="600" w:lineRule="exact"/>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702945</wp:posOffset>
            </wp:positionH>
            <wp:positionV relativeFrom="paragraph">
              <wp:posOffset>234950</wp:posOffset>
            </wp:positionV>
            <wp:extent cx="4359275" cy="2181225"/>
            <wp:effectExtent l="4445" t="4445" r="5080" b="1143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3FBEF63">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6821D62D">
      <w:pPr>
        <w:spacing w:line="600" w:lineRule="exact"/>
        <w:ind w:firstLine="640"/>
        <w:rPr>
          <w:rFonts w:ascii="仿宋" w:hAnsi="仿宋" w:eastAsia="仿宋"/>
          <w:b/>
          <w:sz w:val="32"/>
          <w:szCs w:val="32"/>
        </w:rPr>
      </w:pPr>
    </w:p>
    <w:p w14:paraId="35DD9C0B">
      <w:pPr>
        <w:spacing w:line="600" w:lineRule="exact"/>
        <w:ind w:firstLine="640" w:firstLineChars="200"/>
        <w:outlineLvl w:val="1"/>
        <w:rPr>
          <w:rStyle w:val="28"/>
          <w:rFonts w:ascii="黑体" w:hAnsi="黑体" w:eastAsia="黑体"/>
          <w:b w:val="0"/>
        </w:rPr>
      </w:pPr>
      <w:bookmarkStart w:id="39" w:name="_Toc29478"/>
      <w:bookmarkStart w:id="40" w:name="_Toc15377209"/>
      <w:bookmarkStart w:id="41"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9"/>
      <w:bookmarkEnd w:id="40"/>
      <w:bookmarkEnd w:id="41"/>
    </w:p>
    <w:p w14:paraId="0F474C0A">
      <w:pPr>
        <w:spacing w:line="600" w:lineRule="exact"/>
        <w:ind w:firstLine="643" w:firstLineChars="200"/>
        <w:outlineLvl w:val="2"/>
        <w:rPr>
          <w:rFonts w:ascii="仿宋" w:hAnsi="仿宋" w:eastAsia="仿宋"/>
          <w:b/>
          <w:sz w:val="32"/>
          <w:szCs w:val="32"/>
          <w:highlight w:val="none"/>
        </w:rPr>
      </w:pPr>
      <w:bookmarkStart w:id="42" w:name="_Toc15377210"/>
      <w:r>
        <w:rPr>
          <w:rFonts w:hint="eastAsia" w:ascii="仿宋" w:hAnsi="仿宋" w:eastAsia="仿宋"/>
          <w:b/>
          <w:sz w:val="32"/>
          <w:szCs w:val="32"/>
          <w:highlight w:val="none"/>
        </w:rPr>
        <w:t>（一）一般公共预算财政拨款支出决算总体情况</w:t>
      </w:r>
      <w:bookmarkEnd w:id="42"/>
    </w:p>
    <w:p w14:paraId="7B1160B4">
      <w:pPr>
        <w:spacing w:line="600" w:lineRule="exact"/>
        <w:ind w:firstLine="640" w:firstLineChars="200"/>
        <w:outlineLvl w:val="1"/>
        <w:rPr>
          <w:rFonts w:hint="eastAsia" w:ascii="仿宋" w:hAnsi="仿宋" w:eastAsia="仿宋"/>
          <w:b w:val="0"/>
          <w:bCs w:val="0"/>
          <w:sz w:val="32"/>
          <w:szCs w:val="32"/>
          <w:lang w:val="en-US" w:eastAsia="zh-CN"/>
        </w:rPr>
      </w:pPr>
      <w:r>
        <w:rPr>
          <w:rFonts w:hint="eastAsia" w:ascii="仿宋" w:hAnsi="仿宋" w:eastAsia="仿宋"/>
          <w:b w:val="0"/>
          <w:bCs w:val="0"/>
          <w:sz w:val="32"/>
          <w:szCs w:val="32"/>
        </w:rPr>
        <w:t>2023年度一般公共预算财政拨款支出2307.81万元，占本年支出合计的70.4</w:t>
      </w:r>
      <w:r>
        <w:rPr>
          <w:rFonts w:hint="eastAsia" w:ascii="仿宋" w:hAnsi="仿宋" w:eastAsia="仿宋"/>
          <w:b w:val="0"/>
          <w:bCs w:val="0"/>
          <w:sz w:val="32"/>
          <w:szCs w:val="32"/>
          <w:lang w:val="en-US" w:eastAsia="zh-CN"/>
        </w:rPr>
        <w:t>5</w:t>
      </w:r>
      <w:r>
        <w:rPr>
          <w:rFonts w:hint="eastAsia" w:ascii="仿宋" w:hAnsi="仿宋" w:eastAsia="仿宋"/>
          <w:b w:val="0"/>
          <w:bCs w:val="0"/>
          <w:sz w:val="32"/>
          <w:szCs w:val="32"/>
        </w:rPr>
        <w:t>%。与2022年度相比，一般公共预算财政拨款支出增加</w:t>
      </w:r>
      <w:r>
        <w:rPr>
          <w:rFonts w:hint="eastAsia" w:ascii="仿宋" w:hAnsi="仿宋" w:eastAsia="仿宋"/>
          <w:b w:val="0"/>
          <w:bCs w:val="0"/>
          <w:sz w:val="32"/>
          <w:szCs w:val="32"/>
          <w:lang w:val="en-US" w:eastAsia="zh-CN"/>
        </w:rPr>
        <w:t>382.8</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19.89</w:t>
      </w:r>
      <w:r>
        <w:rPr>
          <w:rFonts w:hint="eastAsia" w:ascii="仿宋" w:hAnsi="仿宋" w:eastAsia="仿宋"/>
          <w:b w:val="0"/>
          <w:bCs w:val="0"/>
          <w:sz w:val="32"/>
          <w:szCs w:val="32"/>
        </w:rPr>
        <w:t>%。主要变动原因</w:t>
      </w:r>
      <w:r>
        <w:rPr>
          <w:rFonts w:hint="eastAsia" w:ascii="仿宋" w:hAnsi="仿宋" w:eastAsia="仿宋"/>
          <w:b w:val="0"/>
          <w:bCs w:val="0"/>
          <w:sz w:val="32"/>
          <w:szCs w:val="32"/>
          <w:lang w:val="en-US" w:eastAsia="zh-CN"/>
        </w:rPr>
        <w:t>为项目增加。</w:t>
      </w:r>
    </w:p>
    <w:p w14:paraId="5666A12C">
      <w:pPr>
        <w:spacing w:line="600" w:lineRule="exact"/>
        <w:rPr>
          <w:rFonts w:hint="eastAsia" w:ascii="仿宋" w:hAnsi="仿宋" w:eastAsia="仿宋"/>
          <w:sz w:val="32"/>
          <w:szCs w:val="32"/>
          <w:lang w:val="en-US" w:eastAsia="zh-CN"/>
        </w:rPr>
      </w:pPr>
      <w:r>
        <w:drawing>
          <wp:anchor distT="0" distB="0" distL="114300" distR="114300" simplePos="0" relativeHeight="251665408" behindDoc="0" locked="0" layoutInCell="1" allowOverlap="1">
            <wp:simplePos x="0" y="0"/>
            <wp:positionH relativeFrom="column">
              <wp:posOffset>210820</wp:posOffset>
            </wp:positionH>
            <wp:positionV relativeFrom="paragraph">
              <wp:posOffset>90805</wp:posOffset>
            </wp:positionV>
            <wp:extent cx="4833620" cy="2616835"/>
            <wp:effectExtent l="4445" t="4445" r="19685" b="762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CA6D885">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B553F6C">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14:paraId="7FED2B28">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 xml:space="preserve">2023年度一般公共预算财政拨款支出2307.81万元，主要用于以下方面:一般公共服务支出729.98 万元，占 </w:t>
      </w:r>
      <w:r>
        <w:rPr>
          <w:rFonts w:hint="eastAsia" w:ascii="仿宋" w:hAnsi="仿宋" w:eastAsia="仿宋"/>
          <w:b w:val="0"/>
          <w:bCs w:val="0"/>
          <w:sz w:val="32"/>
          <w:szCs w:val="32"/>
          <w:lang w:val="en-US" w:eastAsia="zh-CN"/>
        </w:rPr>
        <w:t>31.63</w:t>
      </w:r>
      <w:r>
        <w:rPr>
          <w:rFonts w:hint="eastAsia" w:ascii="仿宋" w:hAnsi="仿宋" w:eastAsia="仿宋"/>
          <w:b w:val="0"/>
          <w:bCs w:val="0"/>
          <w:sz w:val="32"/>
          <w:szCs w:val="32"/>
        </w:rPr>
        <w:t>%，社会保障和就业支出 117.13 万元，占</w:t>
      </w:r>
      <w:r>
        <w:rPr>
          <w:rFonts w:hint="eastAsia" w:ascii="仿宋" w:hAnsi="仿宋" w:eastAsia="仿宋"/>
          <w:b w:val="0"/>
          <w:bCs w:val="0"/>
          <w:sz w:val="32"/>
          <w:szCs w:val="32"/>
          <w:lang w:val="en-US" w:eastAsia="zh-CN"/>
        </w:rPr>
        <w:t>5.08</w:t>
      </w:r>
      <w:r>
        <w:rPr>
          <w:rFonts w:hint="eastAsia" w:ascii="仿宋" w:hAnsi="仿宋" w:eastAsia="仿宋"/>
          <w:b w:val="0"/>
          <w:bCs w:val="0"/>
          <w:sz w:val="32"/>
          <w:szCs w:val="32"/>
        </w:rPr>
        <w:t>%，卫生健康支出 509.97 万元，占</w:t>
      </w:r>
      <w:r>
        <w:rPr>
          <w:rFonts w:hint="eastAsia" w:ascii="仿宋" w:hAnsi="仿宋" w:eastAsia="仿宋"/>
          <w:b w:val="0"/>
          <w:bCs w:val="0"/>
          <w:sz w:val="32"/>
          <w:szCs w:val="32"/>
          <w:lang w:val="en-US" w:eastAsia="zh-CN"/>
        </w:rPr>
        <w:t>22.10</w:t>
      </w:r>
      <w:r>
        <w:rPr>
          <w:rFonts w:hint="eastAsia" w:ascii="仿宋" w:hAnsi="仿宋" w:eastAsia="仿宋"/>
          <w:b w:val="0"/>
          <w:bCs w:val="0"/>
          <w:sz w:val="32"/>
          <w:szCs w:val="32"/>
        </w:rPr>
        <w:t>%，教育支出 46.56 万元，占</w:t>
      </w:r>
      <w:r>
        <w:rPr>
          <w:rFonts w:hint="eastAsia" w:ascii="仿宋" w:hAnsi="仿宋" w:eastAsia="仿宋"/>
          <w:b w:val="0"/>
          <w:bCs w:val="0"/>
          <w:sz w:val="32"/>
          <w:szCs w:val="32"/>
          <w:lang w:val="en-US" w:eastAsia="zh-CN"/>
        </w:rPr>
        <w:t>2.02</w:t>
      </w:r>
      <w:r>
        <w:rPr>
          <w:rFonts w:hint="eastAsia" w:ascii="仿宋" w:hAnsi="仿宋" w:eastAsia="仿宋"/>
          <w:b w:val="0"/>
          <w:bCs w:val="0"/>
          <w:sz w:val="32"/>
          <w:szCs w:val="32"/>
        </w:rPr>
        <w:t>%，农林水支出 702.38 万元，占</w:t>
      </w:r>
      <w:r>
        <w:rPr>
          <w:rFonts w:hint="eastAsia" w:ascii="仿宋" w:hAnsi="仿宋" w:eastAsia="仿宋"/>
          <w:b w:val="0"/>
          <w:bCs w:val="0"/>
          <w:sz w:val="32"/>
          <w:szCs w:val="32"/>
          <w:lang w:val="en-US" w:eastAsia="zh-CN"/>
        </w:rPr>
        <w:t>30.43</w:t>
      </w:r>
      <w:r>
        <w:rPr>
          <w:rFonts w:hint="eastAsia" w:ascii="仿宋" w:hAnsi="仿宋" w:eastAsia="仿宋"/>
          <w:b w:val="0"/>
          <w:bCs w:val="0"/>
          <w:sz w:val="32"/>
          <w:szCs w:val="32"/>
        </w:rPr>
        <w:t>%，交通运输支出 8.60 万元，占</w:t>
      </w:r>
      <w:r>
        <w:rPr>
          <w:rFonts w:hint="eastAsia" w:ascii="仿宋" w:hAnsi="仿宋" w:eastAsia="仿宋"/>
          <w:b w:val="0"/>
          <w:bCs w:val="0"/>
          <w:sz w:val="32"/>
          <w:szCs w:val="32"/>
          <w:lang w:val="en-US" w:eastAsia="zh-CN"/>
        </w:rPr>
        <w:t>0.37</w:t>
      </w:r>
      <w:r>
        <w:rPr>
          <w:rFonts w:hint="eastAsia" w:ascii="仿宋" w:hAnsi="仿宋" w:eastAsia="仿宋"/>
          <w:b w:val="0"/>
          <w:bCs w:val="0"/>
          <w:sz w:val="32"/>
          <w:szCs w:val="32"/>
        </w:rPr>
        <w:t>%，住房保障支出 87.20 万元，占</w:t>
      </w:r>
      <w:r>
        <w:rPr>
          <w:rFonts w:hint="eastAsia" w:ascii="仿宋" w:hAnsi="仿宋" w:eastAsia="仿宋"/>
          <w:b w:val="0"/>
          <w:bCs w:val="0"/>
          <w:sz w:val="32"/>
          <w:szCs w:val="32"/>
          <w:lang w:val="en-US" w:eastAsia="zh-CN"/>
        </w:rPr>
        <w:t>3.78</w:t>
      </w:r>
      <w:r>
        <w:rPr>
          <w:rFonts w:hint="eastAsia" w:ascii="仿宋" w:hAnsi="仿宋" w:eastAsia="仿宋"/>
          <w:b w:val="0"/>
          <w:bCs w:val="0"/>
          <w:sz w:val="32"/>
          <w:szCs w:val="32"/>
        </w:rPr>
        <w:t>%，灾害防治及应急管理支出 106.00 万元，占</w:t>
      </w:r>
      <w:r>
        <w:rPr>
          <w:rFonts w:hint="eastAsia" w:ascii="仿宋" w:hAnsi="仿宋" w:eastAsia="仿宋"/>
          <w:b w:val="0"/>
          <w:bCs w:val="0"/>
          <w:sz w:val="32"/>
          <w:szCs w:val="32"/>
          <w:lang w:val="en-US" w:eastAsia="zh-CN"/>
        </w:rPr>
        <w:t>4.59</w:t>
      </w:r>
      <w:r>
        <w:rPr>
          <w:rFonts w:hint="eastAsia" w:ascii="仿宋" w:hAnsi="仿宋" w:eastAsia="仿宋"/>
          <w:b w:val="0"/>
          <w:bCs w:val="0"/>
          <w:sz w:val="32"/>
          <w:szCs w:val="32"/>
        </w:rPr>
        <w:t>%</w:t>
      </w:r>
      <w:r>
        <w:rPr>
          <w:rFonts w:hint="eastAsia" w:ascii="仿宋" w:hAnsi="仿宋" w:eastAsia="仿宋"/>
          <w:b w:val="0"/>
          <w:bCs w:val="0"/>
          <w:sz w:val="32"/>
          <w:szCs w:val="32"/>
          <w:lang w:eastAsia="zh-CN"/>
        </w:rPr>
        <w:t>。</w:t>
      </w:r>
    </w:p>
    <w:p w14:paraId="588B5F88">
      <w:pPr>
        <w:spacing w:line="600" w:lineRule="exact"/>
      </w:pPr>
      <w:r>
        <w:drawing>
          <wp:anchor distT="0" distB="0" distL="114300" distR="114300" simplePos="0" relativeHeight="251664384" behindDoc="0" locked="0" layoutInCell="1" allowOverlap="1">
            <wp:simplePos x="0" y="0"/>
            <wp:positionH relativeFrom="column">
              <wp:posOffset>298450</wp:posOffset>
            </wp:positionH>
            <wp:positionV relativeFrom="paragraph">
              <wp:posOffset>16510</wp:posOffset>
            </wp:positionV>
            <wp:extent cx="4826000" cy="2743200"/>
            <wp:effectExtent l="4445" t="4445" r="8255" b="1460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623B363">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36DCAA00">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14:paraId="4C736380">
      <w:pPr>
        <w:spacing w:line="600" w:lineRule="exact"/>
        <w:ind w:firstLine="640" w:firstLineChars="200"/>
        <w:outlineLvl w:val="1"/>
        <w:rPr>
          <w:rFonts w:hint="eastAsia" w:ascii="仿宋" w:hAnsi="仿宋" w:eastAsia="仿宋"/>
          <w:b w:val="0"/>
          <w:bCs w:val="0"/>
          <w:sz w:val="32"/>
          <w:szCs w:val="32"/>
        </w:rPr>
      </w:pPr>
      <w:bookmarkStart w:id="45" w:name="_Toc15378460"/>
      <w:bookmarkStart w:id="46" w:name="_Toc15377213"/>
      <w:bookmarkStart w:id="47" w:name="_Toc15377444"/>
      <w:r>
        <w:rPr>
          <w:rFonts w:hint="eastAsia" w:ascii="仿宋" w:hAnsi="仿宋" w:eastAsia="仿宋"/>
          <w:b w:val="0"/>
          <w:bCs w:val="0"/>
          <w:sz w:val="32"/>
          <w:szCs w:val="32"/>
        </w:rPr>
        <w:t>2023年度一般公共预算支出决算数为2307.81，完成预算</w:t>
      </w:r>
      <w:r>
        <w:rPr>
          <w:rFonts w:hint="eastAsia" w:ascii="仿宋" w:hAnsi="仿宋" w:eastAsia="仿宋"/>
          <w:b w:val="0"/>
          <w:bCs w:val="0"/>
          <w:sz w:val="32"/>
          <w:szCs w:val="32"/>
          <w:lang w:val="en-US" w:eastAsia="zh-CN"/>
        </w:rPr>
        <w:t>100</w:t>
      </w:r>
      <w:r>
        <w:rPr>
          <w:rFonts w:hint="eastAsia" w:ascii="仿宋" w:hAnsi="仿宋" w:eastAsia="仿宋"/>
          <w:b w:val="0"/>
          <w:bCs w:val="0"/>
          <w:sz w:val="32"/>
          <w:szCs w:val="32"/>
        </w:rPr>
        <w:t>%。其中：</w:t>
      </w:r>
      <w:bookmarkEnd w:id="45"/>
      <w:bookmarkEnd w:id="46"/>
      <w:bookmarkEnd w:id="47"/>
    </w:p>
    <w:p w14:paraId="53C48F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1.一般公共服务</w:t>
      </w:r>
      <w:r>
        <w:rPr>
          <w:rFonts w:hint="default" w:ascii="仿宋" w:hAnsi="仿宋" w:eastAsia="仿宋"/>
          <w:sz w:val="32"/>
          <w:szCs w:val="32"/>
        </w:rPr>
        <w:t>（类）</w:t>
      </w:r>
      <w:r>
        <w:rPr>
          <w:rFonts w:hint="eastAsia" w:ascii="仿宋" w:hAnsi="仿宋" w:eastAsia="仿宋"/>
          <w:sz w:val="32"/>
          <w:szCs w:val="32"/>
          <w:lang w:val="en-US" w:eastAsia="zh-CN"/>
        </w:rPr>
        <w:t>人大事务</w:t>
      </w:r>
      <w:r>
        <w:rPr>
          <w:rFonts w:hint="default" w:ascii="仿宋" w:hAnsi="仿宋" w:eastAsia="仿宋"/>
          <w:sz w:val="32"/>
          <w:szCs w:val="32"/>
        </w:rPr>
        <w:t>（款）</w:t>
      </w:r>
      <w:r>
        <w:rPr>
          <w:rFonts w:hint="eastAsia" w:ascii="仿宋" w:hAnsi="仿宋" w:eastAsia="仿宋"/>
          <w:sz w:val="32"/>
          <w:szCs w:val="32"/>
          <w:lang w:val="en-US" w:eastAsia="zh-CN"/>
        </w:rPr>
        <w:t>事业运行</w:t>
      </w:r>
      <w:r>
        <w:rPr>
          <w:rFonts w:hint="default" w:ascii="仿宋" w:hAnsi="仿宋" w:eastAsia="仿宋"/>
          <w:sz w:val="32"/>
          <w:szCs w:val="32"/>
        </w:rPr>
        <w:t>（项）：支出决算</w:t>
      </w:r>
      <w:r>
        <w:rPr>
          <w:rFonts w:hint="eastAsia" w:ascii="仿宋" w:hAnsi="仿宋" w:eastAsia="仿宋"/>
          <w:sz w:val="32"/>
          <w:szCs w:val="32"/>
          <w:lang w:val="en-US" w:eastAsia="zh-CN"/>
        </w:rPr>
        <w:t>66.56</w:t>
      </w:r>
      <w:r>
        <w:rPr>
          <w:rFonts w:hint="default" w:ascii="仿宋" w:hAnsi="仿宋" w:eastAsia="仿宋"/>
          <w:sz w:val="32"/>
          <w:szCs w:val="32"/>
        </w:rPr>
        <w:t xml:space="preserve"> 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一般公共服务</w:t>
      </w:r>
      <w:r>
        <w:rPr>
          <w:rFonts w:hint="default" w:ascii="仿宋" w:hAnsi="仿宋" w:eastAsia="仿宋"/>
          <w:sz w:val="32"/>
          <w:szCs w:val="32"/>
        </w:rPr>
        <w:t>（类）</w:t>
      </w:r>
      <w:r>
        <w:rPr>
          <w:rFonts w:hint="eastAsia" w:ascii="仿宋" w:hAnsi="仿宋" w:eastAsia="仿宋"/>
          <w:sz w:val="32"/>
          <w:szCs w:val="32"/>
          <w:lang w:val="en-US" w:eastAsia="zh-CN"/>
        </w:rPr>
        <w:t>政府办公厅（室）及相关机构事务</w:t>
      </w:r>
      <w:r>
        <w:rPr>
          <w:rFonts w:hint="default" w:ascii="仿宋" w:hAnsi="仿宋" w:eastAsia="仿宋"/>
          <w:sz w:val="32"/>
          <w:szCs w:val="32"/>
        </w:rPr>
        <w:t>（款）</w:t>
      </w:r>
      <w:r>
        <w:rPr>
          <w:rFonts w:hint="eastAsia" w:ascii="仿宋" w:hAnsi="仿宋" w:eastAsia="仿宋"/>
          <w:sz w:val="32"/>
          <w:szCs w:val="32"/>
          <w:lang w:val="en-US" w:eastAsia="zh-CN"/>
        </w:rPr>
        <w:t>行政运行</w:t>
      </w:r>
      <w:r>
        <w:rPr>
          <w:rFonts w:hint="default" w:ascii="仿宋" w:hAnsi="仿宋" w:eastAsia="仿宋"/>
          <w:sz w:val="32"/>
          <w:szCs w:val="32"/>
        </w:rPr>
        <w:t>（项）：支出决算</w:t>
      </w:r>
      <w:r>
        <w:rPr>
          <w:rFonts w:hint="eastAsia" w:ascii="仿宋" w:hAnsi="仿宋" w:eastAsia="仿宋"/>
          <w:sz w:val="32"/>
          <w:szCs w:val="32"/>
          <w:lang w:val="en-US" w:eastAsia="zh-CN"/>
        </w:rPr>
        <w:t>540.32</w:t>
      </w:r>
      <w:r>
        <w:rPr>
          <w:rFonts w:hint="default" w:ascii="仿宋" w:hAnsi="仿宋" w:eastAsia="仿宋"/>
          <w:sz w:val="32"/>
          <w:szCs w:val="32"/>
        </w:rPr>
        <w:t xml:space="preserve"> 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一般公共服务</w:t>
      </w:r>
      <w:r>
        <w:rPr>
          <w:rFonts w:hint="default" w:ascii="仿宋" w:hAnsi="仿宋" w:eastAsia="仿宋"/>
          <w:sz w:val="32"/>
          <w:szCs w:val="32"/>
        </w:rPr>
        <w:t>（类）</w:t>
      </w:r>
      <w:r>
        <w:rPr>
          <w:rFonts w:hint="eastAsia" w:ascii="仿宋" w:hAnsi="仿宋" w:eastAsia="仿宋"/>
          <w:sz w:val="32"/>
          <w:szCs w:val="32"/>
          <w:lang w:val="en-US" w:eastAsia="zh-CN"/>
        </w:rPr>
        <w:t>政府办公厅（室）及相关机构事务</w:t>
      </w:r>
      <w:r>
        <w:rPr>
          <w:rFonts w:hint="default" w:ascii="仿宋" w:hAnsi="仿宋" w:eastAsia="仿宋"/>
          <w:sz w:val="32"/>
          <w:szCs w:val="32"/>
        </w:rPr>
        <w:t>（款）</w:t>
      </w:r>
      <w:r>
        <w:rPr>
          <w:rFonts w:hint="eastAsia" w:ascii="仿宋" w:hAnsi="仿宋" w:eastAsia="仿宋"/>
          <w:sz w:val="32"/>
          <w:szCs w:val="32"/>
          <w:lang w:val="en-US" w:eastAsia="zh-CN"/>
        </w:rPr>
        <w:t>事业运行</w:t>
      </w:r>
      <w:r>
        <w:rPr>
          <w:rFonts w:hint="default" w:ascii="仿宋" w:hAnsi="仿宋" w:eastAsia="仿宋"/>
          <w:sz w:val="32"/>
          <w:szCs w:val="32"/>
        </w:rPr>
        <w:t>（项）：支出决算</w:t>
      </w:r>
      <w:r>
        <w:rPr>
          <w:rFonts w:hint="eastAsia" w:ascii="仿宋" w:hAnsi="仿宋" w:eastAsia="仿宋"/>
          <w:sz w:val="32"/>
          <w:szCs w:val="32"/>
          <w:lang w:val="en-US" w:eastAsia="zh-CN"/>
        </w:rPr>
        <w:t>123.11</w:t>
      </w:r>
      <w:r>
        <w:rPr>
          <w:rFonts w:hint="default" w:ascii="仿宋" w:hAnsi="仿宋" w:eastAsia="仿宋"/>
          <w:sz w:val="32"/>
          <w:szCs w:val="32"/>
        </w:rPr>
        <w:t xml:space="preserve"> 万元，完成预算100%，决算数与预算数一致</w:t>
      </w:r>
      <w:r>
        <w:rPr>
          <w:rFonts w:hint="eastAsia" w:ascii="仿宋" w:hAnsi="仿宋" w:eastAsia="仿宋"/>
          <w:sz w:val="32"/>
          <w:szCs w:val="32"/>
          <w:lang w:eastAsia="zh-CN"/>
        </w:rPr>
        <w:t>。</w:t>
      </w:r>
    </w:p>
    <w:p w14:paraId="09CBE4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default" w:ascii="仿宋" w:hAnsi="仿宋" w:eastAsia="仿宋"/>
          <w:sz w:val="32"/>
          <w:szCs w:val="32"/>
        </w:rPr>
        <w:t>教育（类）教育管理事务（款）行政运行（项）：支出决算40.27万元，完成预算100%，决算数与预算数一致</w:t>
      </w:r>
      <w:r>
        <w:rPr>
          <w:rFonts w:hint="eastAsia" w:ascii="仿宋" w:hAnsi="仿宋" w:eastAsia="仿宋"/>
          <w:sz w:val="32"/>
          <w:szCs w:val="32"/>
          <w:lang w:eastAsia="zh-CN"/>
        </w:rPr>
        <w:t>。</w:t>
      </w:r>
    </w:p>
    <w:p w14:paraId="75D0AE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default" w:ascii="仿宋" w:hAnsi="仿宋" w:eastAsia="仿宋"/>
          <w:sz w:val="32"/>
          <w:szCs w:val="32"/>
        </w:rPr>
        <w:t>教育（类）普通教育（款）小学教育（项）：支出决算 6.28万元，完成预算100%，决算数与预算数一致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3.</w:t>
      </w:r>
      <w:r>
        <w:rPr>
          <w:rFonts w:hint="default" w:ascii="仿宋" w:hAnsi="仿宋" w:eastAsia="仿宋"/>
          <w:sz w:val="32"/>
          <w:szCs w:val="32"/>
        </w:rPr>
        <w:t>社会保障和就业（类）行政事业单位养老（款）机关事业单位基本养老保险缴费（项）：支出决算117.13万元，完成预算100%，决算数与预算数一致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4.卫生健康</w:t>
      </w:r>
      <w:r>
        <w:rPr>
          <w:rFonts w:hint="default" w:ascii="仿宋" w:hAnsi="仿宋" w:eastAsia="仿宋"/>
          <w:sz w:val="32"/>
          <w:szCs w:val="32"/>
        </w:rPr>
        <w:t>（类）</w:t>
      </w:r>
      <w:r>
        <w:rPr>
          <w:rFonts w:hint="eastAsia" w:ascii="仿宋" w:hAnsi="仿宋" w:eastAsia="仿宋"/>
          <w:sz w:val="32"/>
          <w:szCs w:val="32"/>
          <w:lang w:val="en-US" w:eastAsia="zh-CN"/>
        </w:rPr>
        <w:t>卫生健康管理事务</w:t>
      </w:r>
      <w:r>
        <w:rPr>
          <w:rFonts w:hint="default" w:ascii="仿宋" w:hAnsi="仿宋" w:eastAsia="仿宋"/>
          <w:sz w:val="32"/>
          <w:szCs w:val="32"/>
        </w:rPr>
        <w:t>（款）</w:t>
      </w:r>
      <w:r>
        <w:rPr>
          <w:rFonts w:hint="eastAsia" w:ascii="仿宋" w:hAnsi="仿宋" w:eastAsia="仿宋"/>
          <w:sz w:val="32"/>
          <w:szCs w:val="32"/>
          <w:lang w:val="en-US" w:eastAsia="zh-CN"/>
        </w:rPr>
        <w:t>行政运行</w:t>
      </w:r>
      <w:r>
        <w:rPr>
          <w:rFonts w:hint="default" w:ascii="仿宋" w:hAnsi="仿宋" w:eastAsia="仿宋"/>
          <w:sz w:val="32"/>
          <w:szCs w:val="32"/>
        </w:rPr>
        <w:t>（项）：支出决算</w:t>
      </w:r>
      <w:r>
        <w:rPr>
          <w:rFonts w:hint="eastAsia" w:ascii="仿宋" w:hAnsi="仿宋" w:eastAsia="仿宋"/>
          <w:sz w:val="32"/>
          <w:szCs w:val="32"/>
          <w:lang w:val="en-US" w:eastAsia="zh-CN"/>
        </w:rPr>
        <w:t>446.33</w:t>
      </w:r>
      <w:r>
        <w:rPr>
          <w:rFonts w:hint="default" w:ascii="仿宋" w:hAnsi="仿宋" w:eastAsia="仿宋"/>
          <w:sz w:val="32"/>
          <w:szCs w:val="32"/>
        </w:rPr>
        <w:t>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卫生健康</w:t>
      </w:r>
      <w:r>
        <w:rPr>
          <w:rFonts w:hint="default" w:ascii="仿宋" w:hAnsi="仿宋" w:eastAsia="仿宋"/>
          <w:sz w:val="32"/>
          <w:szCs w:val="32"/>
        </w:rPr>
        <w:t>（类）</w:t>
      </w:r>
      <w:r>
        <w:rPr>
          <w:rFonts w:hint="eastAsia" w:ascii="仿宋" w:hAnsi="仿宋" w:eastAsia="仿宋"/>
          <w:sz w:val="32"/>
          <w:szCs w:val="32"/>
          <w:lang w:val="en-US" w:eastAsia="zh-CN"/>
        </w:rPr>
        <w:t>公共卫生</w:t>
      </w:r>
      <w:r>
        <w:rPr>
          <w:rFonts w:hint="default" w:ascii="仿宋" w:hAnsi="仿宋" w:eastAsia="仿宋"/>
          <w:sz w:val="32"/>
          <w:szCs w:val="32"/>
        </w:rPr>
        <w:t>（款）</w:t>
      </w:r>
      <w:r>
        <w:rPr>
          <w:rFonts w:hint="eastAsia" w:ascii="仿宋" w:hAnsi="仿宋" w:eastAsia="仿宋"/>
          <w:sz w:val="32"/>
          <w:szCs w:val="32"/>
          <w:lang w:val="en-US" w:eastAsia="zh-CN"/>
        </w:rPr>
        <w:t>疾病预防控制机构</w:t>
      </w:r>
      <w:r>
        <w:rPr>
          <w:rFonts w:hint="default" w:ascii="仿宋" w:hAnsi="仿宋" w:eastAsia="仿宋"/>
          <w:sz w:val="32"/>
          <w:szCs w:val="32"/>
        </w:rPr>
        <w:t>（项）：支出决算</w:t>
      </w:r>
      <w:r>
        <w:rPr>
          <w:rFonts w:hint="eastAsia" w:ascii="仿宋" w:hAnsi="仿宋" w:eastAsia="仿宋"/>
          <w:sz w:val="32"/>
          <w:szCs w:val="32"/>
          <w:lang w:val="en-US" w:eastAsia="zh-CN"/>
        </w:rPr>
        <w:t>18.59</w:t>
      </w:r>
      <w:r>
        <w:rPr>
          <w:rFonts w:hint="default" w:ascii="仿宋" w:hAnsi="仿宋" w:eastAsia="仿宋"/>
          <w:sz w:val="32"/>
          <w:szCs w:val="32"/>
        </w:rPr>
        <w:t>万元，完成预算100%，决算数与预算数一致</w:t>
      </w:r>
      <w:r>
        <w:rPr>
          <w:rFonts w:hint="eastAsia" w:ascii="仿宋" w:hAnsi="仿宋" w:eastAsia="仿宋"/>
          <w:sz w:val="32"/>
          <w:szCs w:val="32"/>
          <w:lang w:eastAsia="zh-CN"/>
        </w:rPr>
        <w:t>。</w:t>
      </w:r>
    </w:p>
    <w:p w14:paraId="1FA118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卫生健康</w:t>
      </w:r>
      <w:r>
        <w:rPr>
          <w:rFonts w:hint="default" w:ascii="仿宋" w:hAnsi="仿宋" w:eastAsia="仿宋"/>
          <w:sz w:val="32"/>
          <w:szCs w:val="32"/>
        </w:rPr>
        <w:t>（类）</w:t>
      </w:r>
      <w:r>
        <w:rPr>
          <w:rFonts w:hint="eastAsia" w:ascii="仿宋" w:hAnsi="仿宋" w:eastAsia="仿宋"/>
          <w:sz w:val="32"/>
          <w:szCs w:val="32"/>
          <w:lang w:val="en-US" w:eastAsia="zh-CN"/>
        </w:rPr>
        <w:t>行政事业单位医疗</w:t>
      </w:r>
      <w:r>
        <w:rPr>
          <w:rFonts w:hint="default" w:ascii="仿宋" w:hAnsi="仿宋" w:eastAsia="仿宋"/>
          <w:sz w:val="32"/>
          <w:szCs w:val="32"/>
        </w:rPr>
        <w:t>（款）</w:t>
      </w:r>
      <w:r>
        <w:rPr>
          <w:rFonts w:hint="eastAsia" w:ascii="仿宋" w:hAnsi="仿宋" w:eastAsia="仿宋"/>
          <w:sz w:val="32"/>
          <w:szCs w:val="32"/>
          <w:lang w:val="en-US" w:eastAsia="zh-CN"/>
        </w:rPr>
        <w:t>行政单位医疗</w:t>
      </w:r>
      <w:r>
        <w:rPr>
          <w:rFonts w:hint="default" w:ascii="仿宋" w:hAnsi="仿宋" w:eastAsia="仿宋"/>
          <w:sz w:val="32"/>
          <w:szCs w:val="32"/>
        </w:rPr>
        <w:t>（项）：支出决算</w:t>
      </w:r>
      <w:r>
        <w:rPr>
          <w:rFonts w:hint="eastAsia" w:ascii="仿宋" w:hAnsi="仿宋" w:eastAsia="仿宋"/>
          <w:sz w:val="32"/>
          <w:szCs w:val="32"/>
          <w:lang w:val="en-US" w:eastAsia="zh-CN"/>
        </w:rPr>
        <w:t>17.91</w:t>
      </w:r>
      <w:r>
        <w:rPr>
          <w:rFonts w:hint="default" w:ascii="仿宋" w:hAnsi="仿宋" w:eastAsia="仿宋"/>
          <w:sz w:val="32"/>
          <w:szCs w:val="32"/>
        </w:rPr>
        <w:t>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卫生健康</w:t>
      </w:r>
      <w:r>
        <w:rPr>
          <w:rFonts w:hint="default" w:ascii="仿宋" w:hAnsi="仿宋" w:eastAsia="仿宋"/>
          <w:sz w:val="32"/>
          <w:szCs w:val="32"/>
        </w:rPr>
        <w:t>（类）</w:t>
      </w:r>
      <w:r>
        <w:rPr>
          <w:rFonts w:hint="eastAsia" w:ascii="仿宋" w:hAnsi="仿宋" w:eastAsia="仿宋"/>
          <w:sz w:val="32"/>
          <w:szCs w:val="32"/>
          <w:lang w:val="en-US" w:eastAsia="zh-CN"/>
        </w:rPr>
        <w:t>行政事业单位医疗</w:t>
      </w:r>
      <w:r>
        <w:rPr>
          <w:rFonts w:hint="default" w:ascii="仿宋" w:hAnsi="仿宋" w:eastAsia="仿宋"/>
          <w:sz w:val="32"/>
          <w:szCs w:val="32"/>
        </w:rPr>
        <w:t>（款）</w:t>
      </w:r>
      <w:r>
        <w:rPr>
          <w:rFonts w:hint="eastAsia" w:ascii="仿宋" w:hAnsi="仿宋" w:eastAsia="仿宋"/>
          <w:sz w:val="32"/>
          <w:szCs w:val="32"/>
          <w:lang w:val="en-US" w:eastAsia="zh-CN"/>
        </w:rPr>
        <w:t>事业单位医疗</w:t>
      </w:r>
      <w:r>
        <w:rPr>
          <w:rFonts w:hint="default" w:ascii="仿宋" w:hAnsi="仿宋" w:eastAsia="仿宋"/>
          <w:sz w:val="32"/>
          <w:szCs w:val="32"/>
        </w:rPr>
        <w:t>（项）：支出决算</w:t>
      </w:r>
      <w:r>
        <w:rPr>
          <w:rFonts w:hint="eastAsia" w:ascii="仿宋" w:hAnsi="仿宋" w:eastAsia="仿宋"/>
          <w:sz w:val="32"/>
          <w:szCs w:val="32"/>
          <w:lang w:val="en-US" w:eastAsia="zh-CN"/>
        </w:rPr>
        <w:t>14.68</w:t>
      </w:r>
      <w:r>
        <w:rPr>
          <w:rFonts w:hint="default" w:ascii="仿宋" w:hAnsi="仿宋" w:eastAsia="仿宋"/>
          <w:sz w:val="32"/>
          <w:szCs w:val="32"/>
        </w:rPr>
        <w:t>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卫生健康</w:t>
      </w:r>
      <w:r>
        <w:rPr>
          <w:rFonts w:hint="default" w:ascii="仿宋" w:hAnsi="仿宋" w:eastAsia="仿宋"/>
          <w:sz w:val="32"/>
          <w:szCs w:val="32"/>
        </w:rPr>
        <w:t>（类）</w:t>
      </w:r>
      <w:r>
        <w:rPr>
          <w:rFonts w:hint="eastAsia" w:ascii="仿宋" w:hAnsi="仿宋" w:eastAsia="仿宋"/>
          <w:sz w:val="32"/>
          <w:szCs w:val="32"/>
          <w:lang w:val="en-US" w:eastAsia="zh-CN"/>
        </w:rPr>
        <w:t>行政事业单位医疗</w:t>
      </w:r>
      <w:r>
        <w:rPr>
          <w:rFonts w:hint="default" w:ascii="仿宋" w:hAnsi="仿宋" w:eastAsia="仿宋"/>
          <w:sz w:val="32"/>
          <w:szCs w:val="32"/>
        </w:rPr>
        <w:t>（款）</w:t>
      </w:r>
      <w:r>
        <w:rPr>
          <w:rFonts w:hint="eastAsia" w:ascii="仿宋" w:hAnsi="仿宋" w:eastAsia="仿宋"/>
          <w:sz w:val="32"/>
          <w:szCs w:val="32"/>
          <w:lang w:val="en-US" w:eastAsia="zh-CN"/>
        </w:rPr>
        <w:t>公务员医疗补助</w:t>
      </w:r>
      <w:r>
        <w:rPr>
          <w:rFonts w:hint="default" w:ascii="仿宋" w:hAnsi="仿宋" w:eastAsia="仿宋"/>
          <w:sz w:val="32"/>
          <w:szCs w:val="32"/>
        </w:rPr>
        <w:t>（项）：支出决算</w:t>
      </w:r>
      <w:r>
        <w:rPr>
          <w:rFonts w:hint="eastAsia" w:ascii="仿宋" w:hAnsi="仿宋" w:eastAsia="仿宋"/>
          <w:sz w:val="32"/>
          <w:szCs w:val="32"/>
          <w:lang w:val="en-US" w:eastAsia="zh-CN"/>
        </w:rPr>
        <w:t>12.46</w:t>
      </w:r>
      <w:r>
        <w:rPr>
          <w:rFonts w:hint="default" w:ascii="仿宋" w:hAnsi="仿宋" w:eastAsia="仿宋"/>
          <w:sz w:val="32"/>
          <w:szCs w:val="32"/>
        </w:rPr>
        <w:t>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5.</w:t>
      </w:r>
      <w:r>
        <w:rPr>
          <w:rFonts w:hint="default" w:ascii="仿宋" w:hAnsi="仿宋" w:eastAsia="仿宋"/>
          <w:sz w:val="32"/>
          <w:szCs w:val="32"/>
        </w:rPr>
        <w:t>农林水（类）农业农村（款）事业运行（项）：支出决算156.63 万元，完成预算 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w:t>
      </w:r>
      <w:r>
        <w:rPr>
          <w:rFonts w:hint="default" w:ascii="仿宋" w:hAnsi="仿宋" w:eastAsia="仿宋"/>
          <w:sz w:val="32"/>
          <w:szCs w:val="32"/>
        </w:rPr>
        <w:t>农林水（类）农业农村（款）农村道路建设（项）：支出决算 55.00 万元，完成预算 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w:t>
      </w:r>
      <w:r>
        <w:rPr>
          <w:rFonts w:hint="default" w:ascii="仿宋" w:hAnsi="仿宋" w:eastAsia="仿宋"/>
          <w:sz w:val="32"/>
          <w:szCs w:val="32"/>
        </w:rPr>
        <w:t>农林水（类）农业农村（款）对高校毕业生到基层任职补助（项）：支出决算1.60 万元，完成预算 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w:t>
      </w:r>
      <w:r>
        <w:rPr>
          <w:rFonts w:hint="default" w:ascii="仿宋" w:hAnsi="仿宋" w:eastAsia="仿宋"/>
          <w:sz w:val="32"/>
          <w:szCs w:val="32"/>
        </w:rPr>
        <w:t>农林水（类）农业农村（款）其他农业农村（项）：支出决算 463.75 万元，完成预算 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w:t>
      </w:r>
      <w:r>
        <w:rPr>
          <w:rFonts w:hint="default" w:ascii="仿宋" w:hAnsi="仿宋" w:eastAsia="仿宋"/>
          <w:sz w:val="32"/>
          <w:szCs w:val="32"/>
        </w:rPr>
        <w:t>农林水（类）农村综合改革（款）其他农村综合改革（项）：支出决算25.40 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6.</w:t>
      </w:r>
      <w:r>
        <w:rPr>
          <w:rFonts w:hint="default" w:ascii="仿宋" w:hAnsi="仿宋" w:eastAsia="仿宋"/>
          <w:sz w:val="32"/>
          <w:szCs w:val="32"/>
        </w:rPr>
        <w:t>交通运输（类）公路水路运输（款）其他公路水路运输（项）：支出决算 8.60 万元，完成预算 100%，决算数与预算数一致</w:t>
      </w:r>
      <w:r>
        <w:rPr>
          <w:rFonts w:hint="eastAsia" w:ascii="仿宋" w:hAnsi="仿宋" w:eastAsia="仿宋"/>
          <w:sz w:val="32"/>
          <w:szCs w:val="32"/>
          <w:lang w:eastAsia="zh-CN"/>
        </w:rPr>
        <w:t>。</w:t>
      </w:r>
    </w:p>
    <w:p w14:paraId="0CA847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b/>
          <w:sz w:val="32"/>
          <w:szCs w:val="32"/>
        </w:rPr>
      </w:pPr>
      <w:r>
        <w:rPr>
          <w:rFonts w:hint="eastAsia" w:ascii="仿宋" w:hAnsi="仿宋" w:eastAsia="仿宋"/>
          <w:sz w:val="32"/>
          <w:szCs w:val="32"/>
          <w:lang w:val="en-US" w:eastAsia="zh-CN"/>
        </w:rPr>
        <w:t>7.</w:t>
      </w:r>
      <w:r>
        <w:rPr>
          <w:rFonts w:hint="default" w:ascii="仿宋" w:hAnsi="仿宋" w:eastAsia="仿宋"/>
          <w:sz w:val="32"/>
          <w:szCs w:val="32"/>
        </w:rPr>
        <w:t>住房</w:t>
      </w:r>
      <w:r>
        <w:rPr>
          <w:rFonts w:hint="eastAsia" w:ascii="仿宋" w:hAnsi="仿宋" w:eastAsia="仿宋"/>
          <w:sz w:val="32"/>
          <w:szCs w:val="32"/>
          <w:lang w:val="en-US" w:eastAsia="zh-CN"/>
        </w:rPr>
        <w:t>保障</w:t>
      </w:r>
      <w:r>
        <w:rPr>
          <w:rFonts w:hint="default" w:ascii="仿宋" w:hAnsi="仿宋" w:eastAsia="仿宋"/>
          <w:sz w:val="32"/>
          <w:szCs w:val="32"/>
        </w:rPr>
        <w:t>（类）</w:t>
      </w:r>
      <w:r>
        <w:rPr>
          <w:rFonts w:hint="eastAsia" w:ascii="仿宋" w:hAnsi="仿宋" w:eastAsia="仿宋"/>
          <w:sz w:val="32"/>
          <w:szCs w:val="32"/>
          <w:lang w:val="en-US" w:eastAsia="zh-CN"/>
        </w:rPr>
        <w:t>住房改革</w:t>
      </w:r>
      <w:r>
        <w:rPr>
          <w:rFonts w:hint="default" w:ascii="仿宋" w:hAnsi="仿宋" w:eastAsia="仿宋"/>
          <w:sz w:val="32"/>
          <w:szCs w:val="32"/>
        </w:rPr>
        <w:t>（款）住房公积金（项）：支出决算87.20 万元，完成预算100%，决算数与预算数一致</w:t>
      </w:r>
      <w:r>
        <w:rPr>
          <w:rFonts w:hint="eastAsia" w:ascii="仿宋" w:hAnsi="仿宋" w:eastAsia="仿宋"/>
          <w:sz w:val="32"/>
          <w:szCs w:val="32"/>
          <w:lang w:eastAsia="zh-CN"/>
        </w:rPr>
        <w:t>。</w:t>
      </w:r>
      <w:r>
        <w:rPr>
          <w:rFonts w:hint="default" w:ascii="仿宋" w:hAnsi="仿宋" w:eastAsia="仿宋"/>
          <w:sz w:val="32"/>
          <w:szCs w:val="32"/>
        </w:rPr>
        <w:br w:type="textWrapping"/>
      </w:r>
      <w:r>
        <w:rPr>
          <w:rFonts w:hint="eastAsia" w:ascii="仿宋" w:hAnsi="仿宋" w:eastAsia="仿宋"/>
          <w:sz w:val="32"/>
          <w:szCs w:val="32"/>
          <w:lang w:val="en-US" w:eastAsia="zh-CN"/>
        </w:rPr>
        <w:t xml:space="preserve">    8.</w:t>
      </w:r>
      <w:r>
        <w:rPr>
          <w:rFonts w:hint="default" w:ascii="仿宋" w:hAnsi="仿宋" w:eastAsia="仿宋"/>
          <w:sz w:val="32"/>
          <w:szCs w:val="32"/>
        </w:rPr>
        <w:t>灾害防治及应急管理（类）自然灾害救灾及恢复重建支出（款）自然灾害灾后重建补助（项）：支出决算 106.00 万元，完成预算100%，决算数与预算数一致</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14:paraId="3094C146">
      <w:pPr>
        <w:tabs>
          <w:tab w:val="right" w:pos="8306"/>
        </w:tabs>
        <w:spacing w:line="600" w:lineRule="exact"/>
        <w:ind w:firstLine="640"/>
        <w:outlineLvl w:val="1"/>
        <w:rPr>
          <w:rStyle w:val="28"/>
        </w:rPr>
      </w:pPr>
      <w:bookmarkStart w:id="48" w:name="_Toc1329"/>
      <w:bookmarkStart w:id="49" w:name="_Toc15396608"/>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14:paraId="76A05B68">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2023年度一般公共预算财政拨款基本支出1655.87万元，其中：</w:t>
      </w:r>
    </w:p>
    <w:p w14:paraId="1A7BF3C1">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人员经费1103.3万元，主要包括：基本工资、津贴补贴、奖金、绩效工资、机关事业单位基本养老保险缴费、职业年金缴费、其他社会保障缴费、其他工资福利支出、医疗费补助、奖励金、住房公积金、其他对个人和家庭的补助支出等。</w:t>
      </w:r>
      <w:r>
        <w:rPr>
          <w:rFonts w:hint="eastAsia" w:ascii="仿宋" w:hAnsi="仿宋" w:eastAsia="仿宋"/>
          <w:b w:val="0"/>
          <w:bCs w:val="0"/>
          <w:sz w:val="32"/>
          <w:szCs w:val="32"/>
        </w:rPr>
        <w:br w:type="textWrapping"/>
      </w:r>
      <w:r>
        <w:rPr>
          <w:rFonts w:hint="eastAsia" w:ascii="仿宋" w:hAnsi="仿宋" w:eastAsia="仿宋"/>
          <w:b w:val="0"/>
          <w:bCs w:val="0"/>
          <w:sz w:val="32"/>
          <w:szCs w:val="32"/>
        </w:rPr>
        <w:t>　　公用经费552.57万元，主要包括：办公费、差旅费、维修（护）费、租赁费、培训费、公务接待费、劳务费、委托业务费、公务用车运行维护费、其他交通费、其他商品和服务支出等。</w:t>
      </w:r>
    </w:p>
    <w:p w14:paraId="0D6C9D1B">
      <w:pPr>
        <w:spacing w:line="600" w:lineRule="exact"/>
        <w:ind w:firstLine="640"/>
        <w:outlineLvl w:val="1"/>
        <w:rPr>
          <w:rStyle w:val="28"/>
          <w:rFonts w:ascii="黑体" w:hAnsi="黑体" w:eastAsia="黑体"/>
          <w:b w:val="0"/>
        </w:rPr>
      </w:pPr>
      <w:bookmarkStart w:id="51" w:name="_Toc15396609"/>
      <w:bookmarkStart w:id="52" w:name="_Toc15377215"/>
      <w:bookmarkStart w:id="53" w:name="_Toc4112"/>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14:paraId="661B196C">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14:paraId="15C0576A">
      <w:pPr>
        <w:spacing w:line="600" w:lineRule="exact"/>
        <w:ind w:firstLine="640"/>
        <w:rPr>
          <w:rFonts w:ascii="仿宋" w:hAnsi="仿宋" w:eastAsia="仿宋"/>
          <w:sz w:val="32"/>
          <w:szCs w:val="32"/>
        </w:rPr>
      </w:pPr>
      <w:r>
        <w:rPr>
          <w:rFonts w:hint="eastAsia" w:ascii="仿宋" w:hAnsi="仿宋" w:eastAsia="仿宋"/>
          <w:b w:val="0"/>
          <w:bCs w:val="0"/>
          <w:sz w:val="32"/>
          <w:szCs w:val="32"/>
        </w:rPr>
        <w:t>2023年度“三公”经费财政拨款支出决算为18.26万元，完成预算100%，较上年度减少</w:t>
      </w:r>
      <w:r>
        <w:rPr>
          <w:rFonts w:hint="eastAsia" w:ascii="仿宋" w:hAnsi="仿宋" w:eastAsia="仿宋"/>
          <w:b w:val="0"/>
          <w:bCs w:val="0"/>
          <w:sz w:val="32"/>
          <w:szCs w:val="32"/>
          <w:lang w:val="en-US" w:eastAsia="zh-CN"/>
        </w:rPr>
        <w:t>1.26</w:t>
      </w:r>
      <w:r>
        <w:rPr>
          <w:rFonts w:hint="eastAsia" w:ascii="仿宋" w:hAnsi="仿宋" w:eastAsia="仿宋"/>
          <w:b w:val="0"/>
          <w:bCs w:val="0"/>
          <w:sz w:val="32"/>
          <w:szCs w:val="32"/>
        </w:rPr>
        <w:t>万元，</w:t>
      </w:r>
      <w:r>
        <w:rPr>
          <w:rFonts w:hint="eastAsia" w:ascii="仿宋" w:hAnsi="仿宋" w:eastAsia="仿宋"/>
          <w:b w:val="0"/>
          <w:bCs w:val="0"/>
          <w:sz w:val="32"/>
          <w:szCs w:val="32"/>
          <w:lang w:val="en-US" w:eastAsia="zh-CN"/>
        </w:rPr>
        <w:t>下降6.46%。</w:t>
      </w:r>
      <w:r>
        <w:rPr>
          <w:rFonts w:hint="eastAsia" w:ascii="仿宋" w:hAnsi="仿宋" w:eastAsia="仿宋"/>
          <w:b w:val="0"/>
          <w:bCs w:val="0"/>
          <w:sz w:val="32"/>
          <w:szCs w:val="32"/>
        </w:rPr>
        <w:t>与预算数持平。</w:t>
      </w:r>
    </w:p>
    <w:p w14:paraId="22EF2A4A">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14:paraId="58211621">
      <w:pPr>
        <w:spacing w:line="600" w:lineRule="exact"/>
        <w:ind w:firstLine="640"/>
        <w:rPr>
          <w:rFonts w:hint="eastAsia" w:ascii="仿宋" w:hAnsi="仿宋" w:eastAsia="仿宋"/>
          <w:sz w:val="32"/>
          <w:szCs w:val="32"/>
        </w:rPr>
      </w:pPr>
      <w:r>
        <w:rPr>
          <w:rFonts w:hint="eastAsia" w:ascii="仿宋" w:hAnsi="仿宋" w:eastAsia="仿宋"/>
          <w:b w:val="0"/>
          <w:bCs w:val="0"/>
          <w:sz w:val="32"/>
          <w:szCs w:val="32"/>
        </w:rPr>
        <w:t>2023年度“三公”经费财政拨款支出决算中，因公出国（境）费支出决算0万元，占0%；公务用车购置及运行维护费支出决算4.52万元，占24.75%；公务接待费支出决算13.74万元，占75.2</w:t>
      </w:r>
      <w:r>
        <w:rPr>
          <w:rFonts w:hint="eastAsia" w:ascii="仿宋" w:hAnsi="仿宋" w:eastAsia="仿宋"/>
          <w:b w:val="0"/>
          <w:bCs w:val="0"/>
          <w:sz w:val="32"/>
          <w:szCs w:val="32"/>
          <w:lang w:val="en-US" w:eastAsia="zh-CN"/>
        </w:rPr>
        <w:t>5</w:t>
      </w:r>
      <w:r>
        <w:rPr>
          <w:rFonts w:hint="eastAsia" w:ascii="仿宋" w:hAnsi="仿宋" w:eastAsia="仿宋"/>
          <w:b w:val="0"/>
          <w:bCs w:val="0"/>
          <w:sz w:val="32"/>
          <w:szCs w:val="32"/>
        </w:rPr>
        <w:t>%。具体情况如下：</w:t>
      </w:r>
    </w:p>
    <w:p w14:paraId="5E08E8C1">
      <w:pPr>
        <w:spacing w:line="600" w:lineRule="exact"/>
        <w:ind w:firstLine="640"/>
        <w:rPr>
          <w:rFonts w:hint="eastAsia" w:ascii="仿宋" w:hAnsi="仿宋" w:eastAsia="仿宋"/>
          <w:sz w:val="32"/>
          <w:szCs w:val="32"/>
        </w:rPr>
      </w:pPr>
    </w:p>
    <w:p w14:paraId="75AAE3A9">
      <w:pPr>
        <w:spacing w:line="600" w:lineRule="exact"/>
        <w:ind w:firstLine="640"/>
        <w:rPr>
          <w:rFonts w:hint="eastAsia" w:ascii="仿宋" w:hAnsi="仿宋" w:eastAsia="仿宋"/>
          <w:sz w:val="32"/>
          <w:szCs w:val="32"/>
        </w:rPr>
      </w:pPr>
      <w:r>
        <w:drawing>
          <wp:anchor distT="0" distB="0" distL="114300" distR="114300" simplePos="0" relativeHeight="251663360" behindDoc="1" locked="0" layoutInCell="1" allowOverlap="1">
            <wp:simplePos x="0" y="0"/>
            <wp:positionH relativeFrom="column">
              <wp:posOffset>253365</wp:posOffset>
            </wp:positionH>
            <wp:positionV relativeFrom="paragraph">
              <wp:posOffset>102235</wp:posOffset>
            </wp:positionV>
            <wp:extent cx="4823460" cy="1946910"/>
            <wp:effectExtent l="4445" t="4445" r="10795" b="10795"/>
            <wp:wrapNone/>
            <wp:docPr id="107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B5310AE">
      <w:pPr>
        <w:spacing w:line="600" w:lineRule="exact"/>
        <w:ind w:firstLine="640"/>
        <w:rPr>
          <w:rFonts w:hint="eastAsia" w:ascii="仿宋" w:hAnsi="仿宋" w:eastAsia="仿宋"/>
          <w:sz w:val="32"/>
          <w:szCs w:val="32"/>
        </w:rPr>
      </w:pPr>
    </w:p>
    <w:p w14:paraId="19C4E86D">
      <w:pPr>
        <w:spacing w:line="600" w:lineRule="exact"/>
        <w:ind w:firstLine="640"/>
        <w:rPr>
          <w:rFonts w:hint="eastAsia" w:ascii="仿宋" w:hAnsi="仿宋" w:eastAsia="仿宋"/>
          <w:sz w:val="32"/>
          <w:szCs w:val="32"/>
        </w:rPr>
      </w:pPr>
    </w:p>
    <w:p w14:paraId="5487B2E1">
      <w:pPr>
        <w:spacing w:line="600" w:lineRule="exact"/>
        <w:ind w:firstLine="640"/>
        <w:rPr>
          <w:rFonts w:hint="eastAsia" w:ascii="仿宋" w:hAnsi="仿宋" w:eastAsia="仿宋"/>
          <w:sz w:val="32"/>
          <w:szCs w:val="32"/>
        </w:rPr>
      </w:pPr>
    </w:p>
    <w:p w14:paraId="53FC9073">
      <w:pPr>
        <w:spacing w:line="600" w:lineRule="exact"/>
        <w:ind w:firstLine="640"/>
        <w:rPr>
          <w:rFonts w:hint="eastAsia" w:ascii="仿宋" w:hAnsi="仿宋" w:eastAsia="仿宋"/>
          <w:sz w:val="32"/>
          <w:szCs w:val="32"/>
        </w:rPr>
      </w:pPr>
    </w:p>
    <w:p w14:paraId="7C6D4869">
      <w:pPr>
        <w:spacing w:line="600" w:lineRule="exact"/>
        <w:ind w:firstLine="640"/>
        <w:rPr>
          <w:rFonts w:hint="eastAsia" w:ascii="仿宋" w:hAnsi="仿宋" w:eastAsia="仿宋"/>
          <w:sz w:val="32"/>
          <w:szCs w:val="32"/>
        </w:rPr>
      </w:pPr>
    </w:p>
    <w:p w14:paraId="45F93960">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7C9CC328">
      <w:pPr>
        <w:spacing w:line="600" w:lineRule="exact"/>
        <w:ind w:firstLine="640" w:firstLineChars="200"/>
        <w:outlineLvl w:val="1"/>
        <w:rPr>
          <w:rFonts w:hint="eastAsia" w:ascii="仿宋" w:hAnsi="仿宋" w:eastAsia="仿宋"/>
          <w:b w:val="0"/>
          <w:bCs w:val="0"/>
          <w:sz w:val="32"/>
          <w:szCs w:val="32"/>
        </w:rPr>
      </w:pPr>
      <w:bookmarkStart w:id="56" w:name="_Toc15396610"/>
      <w:bookmarkStart w:id="57" w:name="_Toc15377218"/>
      <w:r>
        <w:rPr>
          <w:rFonts w:hint="eastAsia" w:ascii="仿宋" w:hAnsi="仿宋" w:eastAsia="仿宋"/>
          <w:b w:val="0"/>
          <w:bCs w:val="0"/>
          <w:sz w:val="32"/>
          <w:szCs w:val="32"/>
        </w:rPr>
        <w:t>1.因公出国（境）经费支出0万元。</w:t>
      </w:r>
    </w:p>
    <w:p w14:paraId="2A3D261B">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2.公务用车购置及运行维护费支出4.52万元,完成预算100%。公务用车购置及运行维护费支出决算比2022年度减少</w:t>
      </w:r>
      <w:r>
        <w:rPr>
          <w:rFonts w:hint="eastAsia" w:ascii="仿宋" w:hAnsi="仿宋" w:eastAsia="仿宋"/>
          <w:b w:val="0"/>
          <w:bCs w:val="0"/>
          <w:sz w:val="32"/>
          <w:szCs w:val="32"/>
          <w:lang w:val="en-US" w:eastAsia="zh-CN"/>
        </w:rPr>
        <w:t>1.26</w:t>
      </w:r>
      <w:r>
        <w:rPr>
          <w:rFonts w:hint="eastAsia" w:ascii="仿宋" w:hAnsi="仿宋" w:eastAsia="仿宋"/>
          <w:b w:val="0"/>
          <w:bCs w:val="0"/>
          <w:sz w:val="32"/>
          <w:szCs w:val="32"/>
        </w:rPr>
        <w:t>万元，下降</w:t>
      </w:r>
      <w:r>
        <w:rPr>
          <w:rFonts w:hint="eastAsia" w:ascii="仿宋" w:hAnsi="仿宋" w:eastAsia="仿宋"/>
          <w:b w:val="0"/>
          <w:bCs w:val="0"/>
          <w:sz w:val="32"/>
          <w:szCs w:val="32"/>
          <w:lang w:val="en-US" w:eastAsia="zh-CN"/>
        </w:rPr>
        <w:t>21.81</w:t>
      </w:r>
      <w:r>
        <w:rPr>
          <w:rFonts w:hint="eastAsia" w:ascii="仿宋" w:hAnsi="仿宋" w:eastAsia="仿宋"/>
          <w:b w:val="0"/>
          <w:bCs w:val="0"/>
          <w:sz w:val="32"/>
          <w:szCs w:val="32"/>
        </w:rPr>
        <w:t>%。主要原因是公务用车运行维护费</w:t>
      </w:r>
      <w:r>
        <w:rPr>
          <w:rFonts w:hint="eastAsia" w:ascii="仿宋" w:hAnsi="仿宋" w:eastAsia="仿宋"/>
          <w:b w:val="0"/>
          <w:bCs w:val="0"/>
          <w:sz w:val="32"/>
          <w:szCs w:val="32"/>
          <w:lang w:val="en-US" w:eastAsia="zh-CN"/>
        </w:rPr>
        <w:t>减少</w:t>
      </w:r>
      <w:r>
        <w:rPr>
          <w:rFonts w:hint="eastAsia" w:ascii="仿宋" w:hAnsi="仿宋" w:eastAsia="仿宋"/>
          <w:b w:val="0"/>
          <w:bCs w:val="0"/>
          <w:sz w:val="32"/>
          <w:szCs w:val="32"/>
        </w:rPr>
        <w:t>。</w:t>
      </w:r>
    </w:p>
    <w:p w14:paraId="0196B57D">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其中：公务用车购置支出0万元。</w:t>
      </w:r>
    </w:p>
    <w:p w14:paraId="5CD92817">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公务用车运行维护费支出4.52万元。主要用于</w:t>
      </w:r>
      <w:r>
        <w:rPr>
          <w:rFonts w:hint="eastAsia" w:ascii="仿宋" w:hAnsi="仿宋" w:eastAsia="仿宋"/>
          <w:b w:val="0"/>
          <w:bCs w:val="0"/>
          <w:sz w:val="32"/>
          <w:szCs w:val="32"/>
          <w:lang w:val="en-US" w:eastAsia="zh-CN"/>
        </w:rPr>
        <w:t>开会、对接工作</w:t>
      </w:r>
      <w:r>
        <w:rPr>
          <w:rFonts w:hint="eastAsia" w:ascii="仿宋" w:hAnsi="仿宋" w:eastAsia="仿宋"/>
          <w:b w:val="0"/>
          <w:bCs w:val="0"/>
          <w:sz w:val="32"/>
          <w:szCs w:val="32"/>
        </w:rPr>
        <w:t>等所需的公务用车燃料费、维修费、过路过桥费、保险费等支出。</w:t>
      </w:r>
    </w:p>
    <w:p w14:paraId="66508A98">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3.公务接待费支出13.74万元，完成预算100%。公务接待费支出决算</w:t>
      </w:r>
      <w:r>
        <w:rPr>
          <w:rFonts w:hint="eastAsia" w:ascii="仿宋" w:hAnsi="仿宋" w:eastAsia="仿宋"/>
          <w:b w:val="0"/>
          <w:bCs w:val="0"/>
          <w:sz w:val="32"/>
          <w:szCs w:val="32"/>
          <w:lang w:val="en-US" w:eastAsia="zh-CN"/>
        </w:rPr>
        <w:t>与</w:t>
      </w:r>
      <w:r>
        <w:rPr>
          <w:rFonts w:hint="eastAsia" w:ascii="仿宋" w:hAnsi="仿宋" w:eastAsia="仿宋"/>
          <w:b w:val="0"/>
          <w:bCs w:val="0"/>
          <w:sz w:val="32"/>
          <w:szCs w:val="32"/>
        </w:rPr>
        <w:t>2022年度</w:t>
      </w:r>
      <w:r>
        <w:rPr>
          <w:rFonts w:hint="eastAsia" w:ascii="仿宋" w:hAnsi="仿宋" w:eastAsia="仿宋"/>
          <w:b w:val="0"/>
          <w:bCs w:val="0"/>
          <w:sz w:val="32"/>
          <w:szCs w:val="32"/>
          <w:lang w:val="en-US" w:eastAsia="zh-CN"/>
        </w:rPr>
        <w:t>持平</w:t>
      </w:r>
      <w:r>
        <w:rPr>
          <w:rFonts w:hint="eastAsia" w:ascii="仿宋" w:hAnsi="仿宋" w:eastAsia="仿宋"/>
          <w:b w:val="0"/>
          <w:bCs w:val="0"/>
          <w:sz w:val="32"/>
          <w:szCs w:val="32"/>
        </w:rPr>
        <w:t>。其中：</w:t>
      </w:r>
    </w:p>
    <w:p w14:paraId="61412E2D">
      <w:pPr>
        <w:spacing w:line="600" w:lineRule="exact"/>
        <w:ind w:firstLine="640" w:firstLineChars="200"/>
        <w:outlineLvl w:val="1"/>
        <w:rPr>
          <w:rFonts w:ascii="黑体" w:eastAsia="黑体"/>
          <w:sz w:val="32"/>
          <w:szCs w:val="32"/>
          <w:highlight w:val="none"/>
        </w:rPr>
      </w:pPr>
      <w:r>
        <w:rPr>
          <w:rFonts w:hint="eastAsia" w:ascii="仿宋" w:hAnsi="仿宋" w:eastAsia="仿宋"/>
          <w:b w:val="0"/>
          <w:bCs w:val="0"/>
          <w:sz w:val="32"/>
          <w:szCs w:val="32"/>
        </w:rPr>
        <w:t>国内公务接待支出13.74万元，</w:t>
      </w:r>
      <w:r>
        <w:rPr>
          <w:rFonts w:hint="eastAsia" w:ascii="仿宋_GB2312" w:eastAsia="仿宋_GB2312"/>
          <w:sz w:val="32"/>
          <w:szCs w:val="32"/>
          <w:highlight w:val="none"/>
        </w:rPr>
        <w:t>主要用于执行公务、开展业务活动开支的交通费、住宿费、用餐费等。国内公务接待</w:t>
      </w:r>
      <w:r>
        <w:rPr>
          <w:rFonts w:hint="eastAsia" w:ascii="仿宋_GB2312" w:eastAsia="仿宋_GB2312"/>
          <w:sz w:val="32"/>
          <w:szCs w:val="32"/>
          <w:highlight w:val="none"/>
          <w:lang w:val="en-US" w:eastAsia="zh-CN"/>
        </w:rPr>
        <w:t>88</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1306</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13.74</w:t>
      </w:r>
      <w:r>
        <w:rPr>
          <w:rFonts w:hint="eastAsia" w:ascii="仿宋_GB2312" w:eastAsia="仿宋_GB2312"/>
          <w:sz w:val="32"/>
          <w:szCs w:val="32"/>
          <w:highlight w:val="none"/>
        </w:rPr>
        <w:t>万元。</w:t>
      </w:r>
    </w:p>
    <w:p w14:paraId="546E6341">
      <w:pPr>
        <w:spacing w:line="600" w:lineRule="exact"/>
        <w:ind w:firstLine="640"/>
        <w:outlineLvl w:val="1"/>
        <w:rPr>
          <w:rStyle w:val="28"/>
          <w:rFonts w:ascii="黑体" w:hAnsi="黑体" w:eastAsia="黑体"/>
        </w:rPr>
      </w:pPr>
      <w:bookmarkStart w:id="58" w:name="_Toc9376"/>
      <w:r>
        <w:rPr>
          <w:rFonts w:hint="eastAsia" w:ascii="黑体" w:eastAsia="黑体"/>
          <w:sz w:val="32"/>
          <w:szCs w:val="32"/>
        </w:rPr>
        <w:t>八、</w:t>
      </w:r>
      <w:r>
        <w:rPr>
          <w:rStyle w:val="28"/>
          <w:rFonts w:hint="eastAsia" w:ascii="黑体" w:hAnsi="黑体" w:eastAsia="黑体"/>
          <w:b w:val="0"/>
        </w:rPr>
        <w:t>政府性基金预算支出决算情况说明</w:t>
      </w:r>
      <w:bookmarkEnd w:id="56"/>
      <w:bookmarkEnd w:id="57"/>
      <w:bookmarkEnd w:id="58"/>
    </w:p>
    <w:p w14:paraId="32B7D73D">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w:t>
      </w:r>
      <w:r>
        <w:rPr>
          <w:rFonts w:hint="eastAsia" w:ascii="仿宋" w:hAnsi="仿宋" w:eastAsia="仿宋"/>
          <w:b w:val="0"/>
          <w:bCs w:val="0"/>
          <w:sz w:val="32"/>
          <w:szCs w:val="32"/>
        </w:rPr>
        <w:t>出968.07万</w:t>
      </w:r>
      <w:r>
        <w:rPr>
          <w:rFonts w:hint="eastAsia" w:ascii="仿宋_GB2312" w:eastAsia="仿宋_GB2312"/>
          <w:sz w:val="32"/>
          <w:szCs w:val="32"/>
        </w:rPr>
        <w:t>元。</w:t>
      </w:r>
    </w:p>
    <w:p w14:paraId="1754DAD7">
      <w:pPr>
        <w:numPr>
          <w:ilvl w:val="0"/>
          <w:numId w:val="3"/>
        </w:numPr>
        <w:spacing w:line="600" w:lineRule="exact"/>
        <w:ind w:firstLine="640"/>
        <w:outlineLvl w:val="1"/>
        <w:rPr>
          <w:rStyle w:val="28"/>
          <w:rFonts w:ascii="黑体" w:hAnsi="黑体" w:eastAsia="黑体"/>
          <w:b w:val="0"/>
        </w:rPr>
      </w:pPr>
      <w:bookmarkStart w:id="59" w:name="_Toc7892"/>
      <w:bookmarkStart w:id="60" w:name="_Toc15396611"/>
      <w:bookmarkStart w:id="61" w:name="_Toc15377219"/>
      <w:r>
        <w:rPr>
          <w:rStyle w:val="28"/>
          <w:rFonts w:hint="eastAsia" w:ascii="黑体" w:hAnsi="黑体" w:eastAsia="黑体"/>
          <w:b w:val="0"/>
        </w:rPr>
        <w:t>国有资本经营预算支出决算情况说明</w:t>
      </w:r>
      <w:bookmarkEnd w:id="59"/>
      <w:bookmarkEnd w:id="60"/>
      <w:bookmarkEnd w:id="61"/>
    </w:p>
    <w:p w14:paraId="348A23C3">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w:t>
      </w:r>
      <w:r>
        <w:rPr>
          <w:rFonts w:hint="eastAsia" w:ascii="仿宋" w:hAnsi="仿宋" w:eastAsia="仿宋"/>
          <w:b w:val="0"/>
          <w:bCs w:val="0"/>
          <w:sz w:val="32"/>
          <w:szCs w:val="32"/>
        </w:rPr>
        <w:t>支出0</w:t>
      </w:r>
      <w:r>
        <w:rPr>
          <w:rFonts w:hint="eastAsia" w:ascii="仿宋_GB2312" w:eastAsia="仿宋_GB2312"/>
          <w:sz w:val="32"/>
          <w:szCs w:val="32"/>
        </w:rPr>
        <w:t>万元。</w:t>
      </w:r>
    </w:p>
    <w:p w14:paraId="51C4AB9B">
      <w:pPr>
        <w:numPr>
          <w:ilvl w:val="0"/>
          <w:numId w:val="3"/>
        </w:numPr>
        <w:spacing w:line="600" w:lineRule="exact"/>
        <w:ind w:firstLine="640"/>
        <w:outlineLvl w:val="1"/>
        <w:rPr>
          <w:rStyle w:val="28"/>
          <w:rFonts w:ascii="黑体" w:hAnsi="黑体" w:eastAsia="黑体"/>
          <w:b w:val="0"/>
        </w:rPr>
      </w:pPr>
      <w:bookmarkStart w:id="62" w:name="_Toc15396612"/>
      <w:bookmarkStart w:id="63" w:name="_Toc15377221"/>
      <w:bookmarkStart w:id="64" w:name="_Toc16959"/>
      <w:r>
        <w:rPr>
          <w:rStyle w:val="28"/>
          <w:rFonts w:hint="eastAsia" w:ascii="黑体" w:hAnsi="黑体" w:eastAsia="黑体"/>
          <w:b w:val="0"/>
        </w:rPr>
        <w:t>其他重要事项的情况说明</w:t>
      </w:r>
      <w:bookmarkEnd w:id="62"/>
      <w:bookmarkEnd w:id="63"/>
      <w:bookmarkEnd w:id="64"/>
    </w:p>
    <w:p w14:paraId="24DE4E1C">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14:paraId="201847B3">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2023年度，泸县毗卢镇人民政府本级机关运行经费支出552.57万元，比2022年度增加</w:t>
      </w:r>
      <w:r>
        <w:rPr>
          <w:rFonts w:hint="eastAsia" w:ascii="仿宋" w:hAnsi="仿宋" w:eastAsia="仿宋"/>
          <w:b w:val="0"/>
          <w:bCs w:val="0"/>
          <w:sz w:val="32"/>
          <w:szCs w:val="32"/>
          <w:lang w:val="en-US" w:eastAsia="zh-CN"/>
        </w:rPr>
        <w:t>100.77</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22.3</w:t>
      </w:r>
      <w:r>
        <w:rPr>
          <w:rFonts w:hint="eastAsia" w:ascii="仿宋" w:hAnsi="仿宋" w:eastAsia="仿宋"/>
          <w:b w:val="0"/>
          <w:bCs w:val="0"/>
          <w:sz w:val="32"/>
          <w:szCs w:val="32"/>
        </w:rPr>
        <w:t>%。主要原因是</w:t>
      </w:r>
      <w:r>
        <w:rPr>
          <w:rFonts w:hint="eastAsia" w:ascii="仿宋" w:hAnsi="仿宋" w:eastAsia="仿宋"/>
          <w:b w:val="0"/>
          <w:bCs w:val="0"/>
          <w:sz w:val="32"/>
          <w:szCs w:val="32"/>
          <w:lang w:val="en-US" w:eastAsia="zh-CN"/>
        </w:rPr>
        <w:t>地震之后设施设备受损，维修维护成本增加</w:t>
      </w:r>
      <w:r>
        <w:rPr>
          <w:rFonts w:hint="eastAsia" w:ascii="仿宋" w:hAnsi="仿宋" w:eastAsia="仿宋"/>
          <w:b w:val="0"/>
          <w:bCs w:val="0"/>
          <w:sz w:val="32"/>
          <w:szCs w:val="32"/>
        </w:rPr>
        <w:t>。</w:t>
      </w:r>
    </w:p>
    <w:p w14:paraId="3DDAA2E3">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14:paraId="58B16176">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2023年度，泸县毗卢镇人民政府本级政府采购支出总额820.93万元，其中：政府采购货物支出0万元、政府采购工程支出820.93万元、政府采购服务支出0万元。主要用于莲花村提灌站升级改造</w:t>
      </w:r>
      <w:r>
        <w:rPr>
          <w:rFonts w:hint="eastAsia" w:ascii="仿宋" w:hAnsi="仿宋" w:eastAsia="仿宋"/>
          <w:b w:val="0"/>
          <w:bCs w:val="0"/>
          <w:sz w:val="32"/>
          <w:szCs w:val="32"/>
          <w:lang w:val="en-US" w:eastAsia="zh-CN"/>
        </w:rPr>
        <w:t>项目等</w:t>
      </w:r>
      <w:r>
        <w:rPr>
          <w:rFonts w:hint="eastAsia" w:ascii="仿宋" w:hAnsi="仿宋" w:eastAsia="仿宋"/>
          <w:b w:val="0"/>
          <w:bCs w:val="0"/>
          <w:sz w:val="32"/>
          <w:szCs w:val="32"/>
        </w:rPr>
        <w:t>。</w:t>
      </w:r>
    </w:p>
    <w:p w14:paraId="4E5CD182">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14:paraId="3E6B1B37">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截至2023年12月31日，泸县毗卢镇人民政府本级共有车辆2辆，其中：主要领导干部用车</w:t>
      </w:r>
      <w:r>
        <w:rPr>
          <w:rFonts w:hint="eastAsia" w:ascii="仿宋" w:hAnsi="仿宋" w:eastAsia="仿宋"/>
          <w:b w:val="0"/>
          <w:bCs w:val="0"/>
          <w:sz w:val="32"/>
          <w:szCs w:val="32"/>
          <w:lang w:eastAsia="zh-CN"/>
        </w:rPr>
        <w:t>0</w:t>
      </w:r>
      <w:r>
        <w:rPr>
          <w:rFonts w:hint="eastAsia" w:ascii="仿宋" w:hAnsi="仿宋" w:eastAsia="仿宋"/>
          <w:b w:val="0"/>
          <w:bCs w:val="0"/>
          <w:sz w:val="32"/>
          <w:szCs w:val="32"/>
        </w:rPr>
        <w:t>辆、机要通信用车</w:t>
      </w:r>
      <w:r>
        <w:rPr>
          <w:rFonts w:hint="eastAsia" w:ascii="仿宋" w:hAnsi="仿宋" w:eastAsia="仿宋"/>
          <w:b w:val="0"/>
          <w:bCs w:val="0"/>
          <w:sz w:val="32"/>
          <w:szCs w:val="32"/>
          <w:lang w:eastAsia="zh-CN"/>
        </w:rPr>
        <w:t>0</w:t>
      </w:r>
      <w:r>
        <w:rPr>
          <w:rFonts w:hint="eastAsia" w:ascii="仿宋" w:hAnsi="仿宋" w:eastAsia="仿宋"/>
          <w:b w:val="0"/>
          <w:bCs w:val="0"/>
          <w:sz w:val="32"/>
          <w:szCs w:val="32"/>
        </w:rPr>
        <w:t>辆、应急保障用车</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辆、其他用车</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辆，其他用车主要是用于</w:t>
      </w:r>
      <w:r>
        <w:rPr>
          <w:rFonts w:hint="eastAsia" w:ascii="仿宋" w:hAnsi="仿宋" w:eastAsia="仿宋"/>
          <w:b w:val="0"/>
          <w:bCs w:val="0"/>
          <w:sz w:val="32"/>
          <w:szCs w:val="32"/>
          <w:lang w:val="en-US" w:eastAsia="zh-CN"/>
        </w:rPr>
        <w:t>公务活动等</w:t>
      </w:r>
      <w:r>
        <w:rPr>
          <w:rFonts w:hint="eastAsia" w:ascii="仿宋" w:hAnsi="仿宋" w:eastAsia="仿宋"/>
          <w:b w:val="0"/>
          <w:bCs w:val="0"/>
          <w:sz w:val="32"/>
          <w:szCs w:val="32"/>
        </w:rPr>
        <w:t>。单价100万元以上设备（不含车辆）0台（套）。</w:t>
      </w:r>
    </w:p>
    <w:p w14:paraId="12EE862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4B84B2E">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w:t>
      </w:r>
      <w:r>
        <w:rPr>
          <w:rFonts w:hint="eastAsia" w:ascii="仿宋_GB2312" w:eastAsia="仿宋_GB2312"/>
          <w:sz w:val="32"/>
          <w:szCs w:val="32"/>
          <w:lang w:eastAsia="zh-CN"/>
        </w:rPr>
        <w:t>，</w:t>
      </w:r>
      <w:r>
        <w:rPr>
          <w:rFonts w:hint="eastAsia" w:ascii="仿宋_GB2312" w:eastAsia="仿宋_GB2312"/>
          <w:sz w:val="32"/>
          <w:szCs w:val="32"/>
        </w:rPr>
        <w:t>对</w:t>
      </w:r>
      <w:r>
        <w:rPr>
          <w:rFonts w:hint="eastAsia" w:ascii="仿宋_GB2312" w:eastAsia="仿宋_GB2312"/>
          <w:sz w:val="32"/>
          <w:szCs w:val="32"/>
          <w:lang w:val="en-US" w:eastAsia="zh-CN"/>
        </w:rPr>
        <w:t>11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11</w:t>
      </w:r>
      <w:r>
        <w:rPr>
          <w:rFonts w:hint="eastAsia" w:ascii="仿宋_GB2312" w:eastAsia="仿宋_GB2312"/>
          <w:sz w:val="32"/>
          <w:szCs w:val="32"/>
        </w:rPr>
        <w:t>个项目开展绩效自评，绩效自评表详见第四部分附件。</w:t>
      </w:r>
    </w:p>
    <w:p w14:paraId="16217963">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57FFB11">
      <w:pPr>
        <w:numPr>
          <w:ilvl w:val="0"/>
          <w:numId w:val="4"/>
        </w:numPr>
        <w:spacing w:line="600" w:lineRule="exact"/>
        <w:ind w:firstLine="660" w:firstLineChars="150"/>
        <w:jc w:val="center"/>
        <w:outlineLvl w:val="0"/>
        <w:rPr>
          <w:rStyle w:val="27"/>
          <w:rFonts w:ascii="黑体" w:hAnsi="黑体" w:eastAsia="黑体"/>
          <w:b w:val="0"/>
        </w:rPr>
      </w:pPr>
      <w:bookmarkStart w:id="68" w:name="_Toc15377225"/>
      <w:bookmarkStart w:id="69" w:name="_Toc15396613"/>
      <w:bookmarkStart w:id="70" w:name="_Toc13528"/>
      <w:r>
        <w:rPr>
          <w:rFonts w:hint="eastAsia" w:ascii="黑体" w:hAnsi="黑体" w:eastAsia="黑体"/>
          <w:sz w:val="44"/>
          <w:szCs w:val="44"/>
        </w:rPr>
        <w:t>名</w:t>
      </w:r>
      <w:r>
        <w:rPr>
          <w:rStyle w:val="27"/>
          <w:rFonts w:hint="eastAsia" w:ascii="黑体" w:hAnsi="黑体" w:eastAsia="黑体"/>
          <w:b w:val="0"/>
        </w:rPr>
        <w:t>词解释</w:t>
      </w:r>
      <w:bookmarkEnd w:id="68"/>
      <w:bookmarkEnd w:id="69"/>
      <w:bookmarkEnd w:id="70"/>
    </w:p>
    <w:p w14:paraId="0B47DDD9">
      <w:pPr>
        <w:spacing w:line="600" w:lineRule="exact"/>
        <w:jc w:val="left"/>
        <w:rPr>
          <w:rFonts w:ascii="宋体"/>
          <w:b/>
          <w:sz w:val="44"/>
          <w:szCs w:val="44"/>
        </w:rPr>
      </w:pPr>
    </w:p>
    <w:p w14:paraId="6F4A807B">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14:paraId="7F082E21">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14:paraId="7CDA0573">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230587AC">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w:t>
      </w:r>
    </w:p>
    <w:p w14:paraId="065A6F80">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 xml:space="preserve">5.使用非财政拨款结余：指事业单位使用以前年度积累的非财政拨款结余弥补当年收支差额的金额。 </w:t>
      </w:r>
    </w:p>
    <w:p w14:paraId="3AF9C5F7">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 xml:space="preserve">6.年初结转和结余：指以前年度尚未完成、结转到本年按有关规定继续使用的资金。 </w:t>
      </w:r>
    </w:p>
    <w:p w14:paraId="52D35495">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7.结余分配：指事业单位按照会计制度规定缴纳的所得税、提取的专用结余以及转入非财政拨款结余的金额等。</w:t>
      </w:r>
    </w:p>
    <w:p w14:paraId="4C5C69E7">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8.年末结转和结余：指单位按有关规定结转到下年或以后年度继续使用的资金。</w:t>
      </w:r>
    </w:p>
    <w:p w14:paraId="48B2F0CE">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9.一般公共服务：指反映政府提供一般公共服务的支出。</w:t>
      </w:r>
    </w:p>
    <w:p w14:paraId="7B125353">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10.外交支出：指反映政府外交事务支出。</w:t>
      </w:r>
    </w:p>
    <w:p w14:paraId="725AAF40">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11.公共安全支出：指反映政府维护社会公共安全方面的支出。</w:t>
      </w:r>
    </w:p>
    <w:p w14:paraId="006596E1">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12.教育支出：指反映政府教育事务支出。</w:t>
      </w:r>
    </w:p>
    <w:p w14:paraId="751E8AC2">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13.科学技术支出：指反映科学技术方面的支出。</w:t>
      </w:r>
    </w:p>
    <w:p w14:paraId="1AD1D48E">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14.文化体育与传媒支出：指反映政府在文化、文物、体育、广播影视、新闻出版等方面的支出。</w:t>
      </w:r>
    </w:p>
    <w:p w14:paraId="253B60FA">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15.社会保障和就业支出：指反映政府在社会保障与就业方面的支出。</w:t>
      </w:r>
    </w:p>
    <w:p w14:paraId="4C1FBCFE">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16.医疗卫生与计划生育支出：指反映政府医疗卫生与计划生育管理方面的支出。</w:t>
      </w:r>
    </w:p>
    <w:p w14:paraId="37A0BD7B">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17.节能环保支出：指反映政府节能环保支出。</w:t>
      </w:r>
    </w:p>
    <w:p w14:paraId="7A4952ED">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18.城乡社区支出：指反映政府城乡社区。</w:t>
      </w:r>
    </w:p>
    <w:p w14:paraId="30E2DE65">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19.农林水支出：指反映政府农林水事务支出。</w:t>
      </w:r>
    </w:p>
    <w:p w14:paraId="195AF23B">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20.交通运输支出：指反映交通运输和邮政业方面的支出。</w:t>
      </w:r>
    </w:p>
    <w:p w14:paraId="2AF21C0E">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21.资源勘探信息等支出：指反映用于资源勘探、制造业、建筑业、工业信息等方面的支出。</w:t>
      </w:r>
    </w:p>
    <w:p w14:paraId="05FC057B">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22.商业服务业等支出：指反映商业服务业等方面的支出。</w:t>
      </w:r>
    </w:p>
    <w:p w14:paraId="36D68E56">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23.金融支出：指反映金融方面的支出。</w:t>
      </w:r>
    </w:p>
    <w:p w14:paraId="3C9D8311">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24.国土海洋气象等支出：指反映政府用于国土资源、海洋、测绘、地震、气象等公益服务事业方面的支出。</w:t>
      </w:r>
    </w:p>
    <w:p w14:paraId="04F4456B">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25.住房保障支出：指集中反映政府用于住房方面的支出。</w:t>
      </w:r>
    </w:p>
    <w:p w14:paraId="5AE73CCD">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26.粮油物资储备支出：指反映政府用于粮油物资储备方面的支出。</w:t>
      </w:r>
    </w:p>
    <w:p w14:paraId="5C694D49">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27.基本支出：指为保障机构正常运转、完成日常工作任务而发生的人员支出和公用支出。</w:t>
      </w:r>
    </w:p>
    <w:p w14:paraId="12CDB5A3">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 xml:space="preserve">28.项目支出：指在基本支出之外为完成特定行政任务和事业发展目标所发生的支出。 </w:t>
      </w:r>
    </w:p>
    <w:p w14:paraId="7BD41135">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29.经营支出：指事业单位在专业业务活动及其辅助活动之外开展非独立核算经营活动发生的支出。</w:t>
      </w:r>
    </w:p>
    <w:p w14:paraId="600E38C2">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EF0A0F6">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72B0B7">
      <w:pPr>
        <w:ind w:firstLine="643" w:firstLineChars="200"/>
        <w:rPr>
          <w:rFonts w:ascii="仿宋" w:hAnsi="仿宋" w:eastAsia="仿宋"/>
          <w:b/>
          <w:sz w:val="32"/>
          <w:szCs w:val="32"/>
        </w:rPr>
      </w:pPr>
    </w:p>
    <w:p w14:paraId="3219FFDF">
      <w:pPr>
        <w:spacing w:line="600" w:lineRule="exact"/>
        <w:jc w:val="center"/>
        <w:outlineLvl w:val="0"/>
        <w:rPr>
          <w:rFonts w:hAnsi="Calibri" w:cs="仿宋"/>
          <w:sz w:val="32"/>
          <w:szCs w:val="32"/>
        </w:rPr>
      </w:pPr>
      <w:bookmarkStart w:id="71" w:name="_Toc15377226"/>
      <w:r>
        <w:rPr>
          <w:rFonts w:ascii="宋体"/>
          <w:b/>
          <w:sz w:val="44"/>
          <w:szCs w:val="44"/>
        </w:rPr>
        <w:br w:type="page"/>
      </w:r>
      <w:bookmarkStart w:id="72" w:name="_Toc19893"/>
      <w:bookmarkStart w:id="73" w:name="_Toc15396614"/>
      <w:r>
        <w:rPr>
          <w:rFonts w:hint="eastAsia" w:ascii="黑体" w:hAnsi="黑体" w:eastAsia="黑体"/>
          <w:sz w:val="44"/>
          <w:szCs w:val="44"/>
        </w:rPr>
        <w:t>第</w:t>
      </w:r>
      <w:r>
        <w:rPr>
          <w:rStyle w:val="27"/>
          <w:rFonts w:hint="eastAsia" w:ascii="黑体" w:hAnsi="黑体" w:eastAsia="黑体"/>
          <w:b w:val="0"/>
        </w:rPr>
        <w:t>四部分 附件</w:t>
      </w:r>
      <w:bookmarkEnd w:id="72"/>
      <w:bookmarkEnd w:id="73"/>
      <w:bookmarkStart w:id="74" w:name="_Toc15396618"/>
    </w:p>
    <w:tbl>
      <w:tblPr>
        <w:tblStyle w:val="14"/>
        <w:tblpPr w:leftFromText="180" w:rightFromText="180" w:vertAnchor="text" w:horzAnchor="page" w:tblpX="1138" w:tblpY="2429"/>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94"/>
        <w:gridCol w:w="1148"/>
        <w:gridCol w:w="1442"/>
        <w:gridCol w:w="396"/>
        <w:gridCol w:w="1095"/>
        <w:gridCol w:w="396"/>
        <w:gridCol w:w="846"/>
        <w:gridCol w:w="486"/>
        <w:gridCol w:w="486"/>
        <w:gridCol w:w="1635"/>
      </w:tblGrid>
      <w:tr w14:paraId="707C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54CAC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102" w:name="_GoBack"/>
            <w:bookmarkStart w:id="75" w:name="_Toc26937"/>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F6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FEB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8515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51052122T000005515282-2022年工作经费</w:t>
            </w:r>
          </w:p>
        </w:tc>
      </w:tr>
      <w:tr w14:paraId="06D73A63">
        <w:tblPrEx>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69A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DDC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5868C8A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BA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13EA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D85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4C1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2C4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87CAA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908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C6FD0">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0E102">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B3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合理使用工作经费，使用达到效益最大化</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2C16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5F83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6B52A">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24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A46F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合理使用工作经费，使用达到效益最大化</w:t>
            </w:r>
          </w:p>
        </w:tc>
      </w:tr>
      <w:tr w14:paraId="7695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80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F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4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5F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3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A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3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A0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777D">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1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1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D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983.61</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81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983.61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4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1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302E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08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632C">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1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E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A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983.61</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09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983.61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4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A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D71C4">
            <w:pPr>
              <w:rPr>
                <w:rFonts w:hint="eastAsia" w:ascii="黑体" w:hAnsi="黑体" w:eastAsia="黑体" w:cs="黑体"/>
                <w:i/>
                <w:iCs/>
                <w:color w:val="000000"/>
                <w:sz w:val="18"/>
                <w:szCs w:val="18"/>
                <w:u w:val="none"/>
              </w:rPr>
            </w:pPr>
          </w:p>
        </w:tc>
      </w:tr>
      <w:tr w14:paraId="66B7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BE725">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1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C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7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FA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3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A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5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E7C15">
            <w:pPr>
              <w:rPr>
                <w:rFonts w:hint="eastAsia" w:ascii="黑体" w:hAnsi="黑体" w:eastAsia="黑体" w:cs="黑体"/>
                <w:i/>
                <w:iCs/>
                <w:color w:val="000000"/>
                <w:sz w:val="18"/>
                <w:szCs w:val="18"/>
                <w:u w:val="none"/>
              </w:rPr>
            </w:pPr>
          </w:p>
        </w:tc>
      </w:tr>
      <w:tr w14:paraId="6A68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105A2">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7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D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1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78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A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2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BA12A">
            <w:pPr>
              <w:rPr>
                <w:rFonts w:hint="eastAsia" w:ascii="黑体" w:hAnsi="黑体" w:eastAsia="黑体" w:cs="黑体"/>
                <w:i/>
                <w:iCs/>
                <w:color w:val="000000"/>
                <w:sz w:val="18"/>
                <w:szCs w:val="18"/>
                <w:u w:val="none"/>
              </w:rPr>
            </w:pPr>
          </w:p>
        </w:tc>
      </w:tr>
      <w:tr w14:paraId="5F24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909E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9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7EA0">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3267">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27D0C">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3B43">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F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0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F2AD">
            <w:pPr>
              <w:rPr>
                <w:rFonts w:hint="eastAsia" w:ascii="黑体" w:hAnsi="黑体" w:eastAsia="黑体" w:cs="黑体"/>
                <w:i/>
                <w:iCs/>
                <w:color w:val="000000"/>
                <w:sz w:val="18"/>
                <w:szCs w:val="18"/>
                <w:u w:val="none"/>
              </w:rPr>
            </w:pPr>
          </w:p>
        </w:tc>
      </w:tr>
      <w:tr w14:paraId="7DC7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D7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D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5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5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5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1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D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D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BC1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F606D">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CD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2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保障村社区个数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A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6E7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3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6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1D8">
            <w:pPr>
              <w:jc w:val="center"/>
              <w:rPr>
                <w:rFonts w:hint="eastAsia" w:ascii="微软雅黑" w:hAnsi="微软雅黑" w:eastAsia="微软雅黑" w:cs="微软雅黑"/>
                <w:i/>
                <w:iCs/>
                <w:color w:val="000000"/>
                <w:sz w:val="16"/>
                <w:szCs w:val="16"/>
                <w:u w:val="none"/>
              </w:rPr>
            </w:pPr>
          </w:p>
        </w:tc>
      </w:tr>
      <w:tr w14:paraId="71F5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FC21">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A010C">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B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4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使用工作经费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E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9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合理有效</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11C4">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7D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合理有效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B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A835">
            <w:pPr>
              <w:jc w:val="center"/>
              <w:rPr>
                <w:rFonts w:hint="eastAsia" w:ascii="微软雅黑" w:hAnsi="微软雅黑" w:eastAsia="微软雅黑" w:cs="微软雅黑"/>
                <w:i/>
                <w:iCs/>
                <w:color w:val="000000"/>
                <w:sz w:val="16"/>
                <w:szCs w:val="16"/>
                <w:u w:val="none"/>
              </w:rPr>
            </w:pPr>
          </w:p>
        </w:tc>
      </w:tr>
      <w:tr w14:paraId="717F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FD02F">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5C4EA">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B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6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4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E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349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4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B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A951">
            <w:pPr>
              <w:jc w:val="center"/>
              <w:rPr>
                <w:rFonts w:hint="eastAsia" w:ascii="微软雅黑" w:hAnsi="微软雅黑" w:eastAsia="微软雅黑" w:cs="微软雅黑"/>
                <w:i/>
                <w:iCs/>
                <w:color w:val="000000"/>
                <w:sz w:val="16"/>
                <w:szCs w:val="16"/>
                <w:u w:val="none"/>
              </w:rPr>
            </w:pPr>
          </w:p>
        </w:tc>
      </w:tr>
      <w:tr w14:paraId="6B7F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A56B">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C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6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D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有效确保全镇持续发展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6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9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E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7C0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7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8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49A5">
            <w:pPr>
              <w:jc w:val="center"/>
              <w:rPr>
                <w:rFonts w:hint="eastAsia" w:ascii="微软雅黑" w:hAnsi="微软雅黑" w:eastAsia="微软雅黑" w:cs="微软雅黑"/>
                <w:i/>
                <w:iCs/>
                <w:color w:val="000000"/>
                <w:sz w:val="16"/>
                <w:szCs w:val="16"/>
                <w:u w:val="none"/>
              </w:rPr>
            </w:pPr>
          </w:p>
        </w:tc>
      </w:tr>
      <w:tr w14:paraId="2038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28C1">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E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E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7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5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C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53E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A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4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8732">
            <w:pPr>
              <w:jc w:val="center"/>
              <w:rPr>
                <w:rFonts w:hint="eastAsia" w:ascii="微软雅黑" w:hAnsi="微软雅黑" w:eastAsia="微软雅黑" w:cs="微软雅黑"/>
                <w:i/>
                <w:iCs/>
                <w:color w:val="000000"/>
                <w:sz w:val="16"/>
                <w:szCs w:val="16"/>
                <w:u w:val="none"/>
              </w:rPr>
            </w:pPr>
          </w:p>
        </w:tc>
      </w:tr>
      <w:tr w14:paraId="1B6B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9C8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9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2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9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直接成本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2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5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983.61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A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E7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983.61万元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A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3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47AE">
            <w:pPr>
              <w:jc w:val="center"/>
              <w:rPr>
                <w:rFonts w:hint="eastAsia" w:ascii="微软雅黑" w:hAnsi="微软雅黑" w:eastAsia="微软雅黑" w:cs="微软雅黑"/>
                <w:i/>
                <w:iCs/>
                <w:color w:val="000000"/>
                <w:sz w:val="16"/>
                <w:szCs w:val="16"/>
                <w:u w:val="none"/>
              </w:rPr>
            </w:pPr>
          </w:p>
        </w:tc>
      </w:tr>
      <w:tr w14:paraId="5184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C36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9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425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499F">
            <w:pPr>
              <w:rPr>
                <w:rFonts w:hint="eastAsia" w:ascii="宋体" w:hAnsi="宋体" w:eastAsia="宋体" w:cs="宋体"/>
                <w:i w:val="0"/>
                <w:iCs w:val="0"/>
                <w:color w:val="000000"/>
                <w:sz w:val="18"/>
                <w:szCs w:val="18"/>
                <w:u w:val="none"/>
              </w:rPr>
            </w:pPr>
          </w:p>
        </w:tc>
      </w:tr>
      <w:tr w14:paraId="7441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CD14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自评得分100分，合理使用经费，保障单位正常运转</w:t>
            </w:r>
          </w:p>
        </w:tc>
      </w:tr>
      <w:tr w14:paraId="4DBA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A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5EB2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4CD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4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7E91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22C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02B1FC63">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09D13CD6">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0C05FBFB">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362EB805">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4814EB8">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689C96F">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5FA6481">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A64166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AC6B92E">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69618B6">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10FBE8D5">
            <w:pPr>
              <w:rPr>
                <w:rFonts w:hint="eastAsia" w:ascii="宋体" w:hAnsi="宋体" w:eastAsia="宋体" w:cs="宋体"/>
                <w:i w:val="0"/>
                <w:iCs w:val="0"/>
                <w:color w:val="000000"/>
                <w:sz w:val="18"/>
                <w:szCs w:val="18"/>
                <w:u w:val="none"/>
              </w:rPr>
            </w:pPr>
          </w:p>
        </w:tc>
      </w:tr>
      <w:tr w14:paraId="671A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C4885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36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647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0BF7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51052122T000007318123-乡村振兴--农村公路</w:t>
            </w:r>
          </w:p>
        </w:tc>
      </w:tr>
      <w:tr w14:paraId="4926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883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F5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0BAAAC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FA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6E8C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2BC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01F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FD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F07BD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37E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35F9">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978D3">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3E1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提升群众出行便利性，对农村公路进行维护</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701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731A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81B0">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68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7ED7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提升群众出行便利性，对农村公路进行维护</w:t>
            </w:r>
          </w:p>
        </w:tc>
      </w:tr>
      <w:tr w14:paraId="173F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72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6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7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0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BD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B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9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C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E0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969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2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A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A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F1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3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9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06EC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01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7599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4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9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E4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A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2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F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D822">
            <w:pPr>
              <w:rPr>
                <w:rFonts w:hint="eastAsia" w:ascii="黑体" w:hAnsi="黑体" w:eastAsia="黑体" w:cs="黑体"/>
                <w:i/>
                <w:iCs/>
                <w:color w:val="000000"/>
                <w:sz w:val="18"/>
                <w:szCs w:val="18"/>
                <w:u w:val="none"/>
              </w:rPr>
            </w:pPr>
          </w:p>
        </w:tc>
      </w:tr>
      <w:tr w14:paraId="2DC0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BD9AC">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0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E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8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AE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7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B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E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0DC2E">
            <w:pPr>
              <w:rPr>
                <w:rFonts w:hint="eastAsia" w:ascii="黑体" w:hAnsi="黑体" w:eastAsia="黑体" w:cs="黑体"/>
                <w:i/>
                <w:iCs/>
                <w:color w:val="000000"/>
                <w:sz w:val="18"/>
                <w:szCs w:val="18"/>
                <w:u w:val="none"/>
              </w:rPr>
            </w:pPr>
          </w:p>
        </w:tc>
      </w:tr>
      <w:tr w14:paraId="5F82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F94C">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A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2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52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6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3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5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E948">
            <w:pPr>
              <w:rPr>
                <w:rFonts w:hint="eastAsia" w:ascii="黑体" w:hAnsi="黑体" w:eastAsia="黑体" w:cs="黑体"/>
                <w:i/>
                <w:iCs/>
                <w:color w:val="000000"/>
                <w:sz w:val="18"/>
                <w:szCs w:val="18"/>
                <w:u w:val="none"/>
              </w:rPr>
            </w:pPr>
          </w:p>
        </w:tc>
      </w:tr>
      <w:tr w14:paraId="5EDA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18B9D">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B30F">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B9A4">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C5602">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4FA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E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5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50FB9">
            <w:pPr>
              <w:rPr>
                <w:rFonts w:hint="eastAsia" w:ascii="黑体" w:hAnsi="黑体" w:eastAsia="黑体" w:cs="黑体"/>
                <w:i/>
                <w:iCs/>
                <w:color w:val="000000"/>
                <w:sz w:val="18"/>
                <w:szCs w:val="18"/>
                <w:u w:val="none"/>
              </w:rPr>
            </w:pPr>
          </w:p>
        </w:tc>
      </w:tr>
      <w:tr w14:paraId="1F61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D2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F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A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6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3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D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2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1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1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3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51F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68AE0">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BB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7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7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1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E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0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6E0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A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4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D92C">
            <w:pPr>
              <w:jc w:val="center"/>
              <w:rPr>
                <w:rFonts w:hint="eastAsia" w:ascii="微软雅黑" w:hAnsi="微软雅黑" w:eastAsia="微软雅黑" w:cs="微软雅黑"/>
                <w:i/>
                <w:iCs/>
                <w:color w:val="000000"/>
                <w:sz w:val="16"/>
                <w:szCs w:val="16"/>
                <w:u w:val="none"/>
              </w:rPr>
            </w:pPr>
          </w:p>
        </w:tc>
      </w:tr>
      <w:tr w14:paraId="1EED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6E9D">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003E">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E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E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公路养护完成率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5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9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2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23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5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C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370D">
            <w:pPr>
              <w:jc w:val="center"/>
              <w:rPr>
                <w:rFonts w:hint="eastAsia" w:ascii="微软雅黑" w:hAnsi="微软雅黑" w:eastAsia="微软雅黑" w:cs="微软雅黑"/>
                <w:i/>
                <w:iCs/>
                <w:color w:val="000000"/>
                <w:sz w:val="16"/>
                <w:szCs w:val="16"/>
                <w:u w:val="none"/>
              </w:rPr>
            </w:pPr>
          </w:p>
        </w:tc>
      </w:tr>
      <w:tr w14:paraId="3DC2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BF4B0">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C7F5">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9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D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0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4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C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1FD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7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0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B2F0">
            <w:pPr>
              <w:jc w:val="center"/>
              <w:rPr>
                <w:rFonts w:hint="eastAsia" w:ascii="微软雅黑" w:hAnsi="微软雅黑" w:eastAsia="微软雅黑" w:cs="微软雅黑"/>
                <w:i/>
                <w:iCs/>
                <w:color w:val="000000"/>
                <w:sz w:val="16"/>
                <w:szCs w:val="16"/>
                <w:u w:val="none"/>
              </w:rPr>
            </w:pPr>
          </w:p>
        </w:tc>
      </w:tr>
      <w:tr w14:paraId="5215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036C1">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2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2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沿线经济效益</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4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9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43FE">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73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有效提升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E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B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89A5">
            <w:pPr>
              <w:jc w:val="center"/>
              <w:rPr>
                <w:rFonts w:hint="eastAsia" w:ascii="微软雅黑" w:hAnsi="微软雅黑" w:eastAsia="微软雅黑" w:cs="微软雅黑"/>
                <w:i/>
                <w:iCs/>
                <w:color w:val="000000"/>
                <w:sz w:val="16"/>
                <w:szCs w:val="16"/>
                <w:u w:val="none"/>
              </w:rPr>
            </w:pPr>
          </w:p>
        </w:tc>
      </w:tr>
      <w:tr w14:paraId="7544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8B5D">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9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2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D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3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6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E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2A4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7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B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E10E">
            <w:pPr>
              <w:jc w:val="center"/>
              <w:rPr>
                <w:rFonts w:hint="eastAsia" w:ascii="微软雅黑" w:hAnsi="微软雅黑" w:eastAsia="微软雅黑" w:cs="微软雅黑"/>
                <w:i/>
                <w:iCs/>
                <w:color w:val="000000"/>
                <w:sz w:val="16"/>
                <w:szCs w:val="16"/>
                <w:u w:val="none"/>
              </w:rPr>
            </w:pPr>
          </w:p>
        </w:tc>
      </w:tr>
      <w:tr w14:paraId="48996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446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2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9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8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直接成本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8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C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391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B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399">
            <w:pPr>
              <w:jc w:val="center"/>
              <w:rPr>
                <w:rFonts w:hint="eastAsia" w:ascii="微软雅黑" w:hAnsi="微软雅黑" w:eastAsia="微软雅黑" w:cs="微软雅黑"/>
                <w:i/>
                <w:iCs/>
                <w:color w:val="000000"/>
                <w:sz w:val="16"/>
                <w:szCs w:val="16"/>
                <w:u w:val="none"/>
              </w:rPr>
            </w:pPr>
          </w:p>
        </w:tc>
      </w:tr>
      <w:tr w14:paraId="3FA4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D2B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2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168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45B">
            <w:pPr>
              <w:rPr>
                <w:rFonts w:hint="eastAsia" w:ascii="宋体" w:hAnsi="宋体" w:eastAsia="宋体" w:cs="宋体"/>
                <w:i w:val="0"/>
                <w:iCs w:val="0"/>
                <w:color w:val="000000"/>
                <w:sz w:val="18"/>
                <w:szCs w:val="18"/>
                <w:u w:val="none"/>
              </w:rPr>
            </w:pPr>
          </w:p>
        </w:tc>
      </w:tr>
      <w:tr w14:paraId="2BE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3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03B9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自评得分100分，对农村公路进行维修养护，方便群众出行，提供便利</w:t>
            </w:r>
          </w:p>
        </w:tc>
      </w:tr>
      <w:tr w14:paraId="1F96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F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58F84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355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9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7E9E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FB1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3680FBF1">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73C0DFF9">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58F578A9">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74DA2B69">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68630AD">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52B29C3">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4739E750">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76E8B1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CE4485B">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112CBE0">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0318CB34">
            <w:pPr>
              <w:rPr>
                <w:rFonts w:hint="eastAsia" w:ascii="宋体" w:hAnsi="宋体" w:eastAsia="宋体" w:cs="宋体"/>
                <w:i w:val="0"/>
                <w:iCs w:val="0"/>
                <w:color w:val="000000"/>
                <w:sz w:val="18"/>
                <w:szCs w:val="18"/>
                <w:u w:val="none"/>
              </w:rPr>
            </w:pPr>
          </w:p>
        </w:tc>
      </w:tr>
      <w:tr w14:paraId="1F6D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A8D19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46E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D6A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C935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51052122T000007318131-乡村振兴--生态振兴</w:t>
            </w:r>
          </w:p>
        </w:tc>
      </w:tr>
      <w:tr w14:paraId="69DB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6C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AA5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5EB894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2D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754E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148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9F0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24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8B5F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4F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55A6D">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1AC3">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FA3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强化乡村振兴建设，提升农村居民幸福感</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FF62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5553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D590">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3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10B6C9">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建设泵站4座、管网14264.8米</w:t>
            </w:r>
            <w:r>
              <w:rPr>
                <w:rFonts w:hint="eastAsia" w:ascii="宋体" w:hAnsi="宋体" w:cs="宋体"/>
                <w:i w:val="0"/>
                <w:iCs w:val="0"/>
                <w:color w:val="000000"/>
                <w:kern w:val="0"/>
                <w:sz w:val="18"/>
                <w:szCs w:val="18"/>
                <w:u w:val="none"/>
                <w:lang w:val="en-US" w:eastAsia="zh-CN" w:bidi="ar"/>
              </w:rPr>
              <w:t>等</w:t>
            </w:r>
          </w:p>
        </w:tc>
      </w:tr>
      <w:tr w14:paraId="2AB1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E6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C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1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D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BF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2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A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D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6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C3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6805">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5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A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5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C0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B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8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F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AE16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F9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7953">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6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C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4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F8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3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4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B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5491D">
            <w:pPr>
              <w:rPr>
                <w:rFonts w:hint="eastAsia" w:ascii="黑体" w:hAnsi="黑体" w:eastAsia="黑体" w:cs="黑体"/>
                <w:i/>
                <w:iCs/>
                <w:color w:val="000000"/>
                <w:sz w:val="18"/>
                <w:szCs w:val="18"/>
                <w:u w:val="none"/>
              </w:rPr>
            </w:pPr>
          </w:p>
        </w:tc>
      </w:tr>
      <w:tr w14:paraId="261A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0260A">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A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6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4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A6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B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6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4665">
            <w:pPr>
              <w:rPr>
                <w:rFonts w:hint="eastAsia" w:ascii="黑体" w:hAnsi="黑体" w:eastAsia="黑体" w:cs="黑体"/>
                <w:i/>
                <w:iCs/>
                <w:color w:val="000000"/>
                <w:sz w:val="18"/>
                <w:szCs w:val="18"/>
                <w:u w:val="none"/>
              </w:rPr>
            </w:pPr>
          </w:p>
        </w:tc>
      </w:tr>
      <w:tr w14:paraId="26A8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01EE7">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5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7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AD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0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8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0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E6AB2">
            <w:pPr>
              <w:rPr>
                <w:rFonts w:hint="eastAsia" w:ascii="黑体" w:hAnsi="黑体" w:eastAsia="黑体" w:cs="黑体"/>
                <w:i/>
                <w:iCs/>
                <w:color w:val="000000"/>
                <w:sz w:val="18"/>
                <w:szCs w:val="18"/>
                <w:u w:val="none"/>
              </w:rPr>
            </w:pPr>
          </w:p>
        </w:tc>
      </w:tr>
      <w:tr w14:paraId="1591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CDE3B">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AC4F">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38B5">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B84F5">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B8B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5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7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C5BCB">
            <w:pPr>
              <w:rPr>
                <w:rFonts w:hint="eastAsia" w:ascii="黑体" w:hAnsi="黑体" w:eastAsia="黑体" w:cs="黑体"/>
                <w:i/>
                <w:iCs/>
                <w:color w:val="000000"/>
                <w:sz w:val="18"/>
                <w:szCs w:val="18"/>
                <w:u w:val="none"/>
              </w:rPr>
            </w:pPr>
          </w:p>
        </w:tc>
      </w:tr>
      <w:tr w14:paraId="657E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92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C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D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5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5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7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45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F2EBF">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71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0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1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完成泵站建设个数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1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B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3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E9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0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59B6">
            <w:pPr>
              <w:jc w:val="center"/>
              <w:rPr>
                <w:rFonts w:hint="eastAsia" w:ascii="微软雅黑" w:hAnsi="微软雅黑" w:eastAsia="微软雅黑" w:cs="微软雅黑"/>
                <w:i/>
                <w:iCs/>
                <w:color w:val="000000"/>
                <w:sz w:val="16"/>
                <w:szCs w:val="16"/>
                <w:u w:val="none"/>
              </w:rPr>
            </w:pPr>
          </w:p>
        </w:tc>
      </w:tr>
      <w:tr w14:paraId="6CB4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E64F9">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BFFA">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7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6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C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6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5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372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7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7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FC7E">
            <w:pPr>
              <w:jc w:val="center"/>
              <w:rPr>
                <w:rFonts w:hint="eastAsia" w:ascii="微软雅黑" w:hAnsi="微软雅黑" w:eastAsia="微软雅黑" w:cs="微软雅黑"/>
                <w:i/>
                <w:iCs/>
                <w:color w:val="000000"/>
                <w:sz w:val="16"/>
                <w:szCs w:val="16"/>
                <w:u w:val="none"/>
              </w:rPr>
            </w:pPr>
          </w:p>
        </w:tc>
      </w:tr>
      <w:tr w14:paraId="64C5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E74B9">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36B25">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6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3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完成及时性</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1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8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7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25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F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7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711A">
            <w:pPr>
              <w:jc w:val="center"/>
              <w:rPr>
                <w:rFonts w:hint="eastAsia" w:ascii="微软雅黑" w:hAnsi="微软雅黑" w:eastAsia="微软雅黑" w:cs="微软雅黑"/>
                <w:i/>
                <w:iCs/>
                <w:color w:val="000000"/>
                <w:sz w:val="16"/>
                <w:szCs w:val="16"/>
                <w:u w:val="none"/>
              </w:rPr>
            </w:pPr>
          </w:p>
        </w:tc>
      </w:tr>
      <w:tr w14:paraId="1161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08F88">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7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3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1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群众经济效益</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8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A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C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C77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有效提升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9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C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77B9">
            <w:pPr>
              <w:jc w:val="center"/>
              <w:rPr>
                <w:rFonts w:hint="eastAsia" w:ascii="微软雅黑" w:hAnsi="微软雅黑" w:eastAsia="微软雅黑" w:cs="微软雅黑"/>
                <w:i/>
                <w:iCs/>
                <w:color w:val="000000"/>
                <w:sz w:val="16"/>
                <w:szCs w:val="16"/>
                <w:u w:val="none"/>
              </w:rPr>
            </w:pPr>
          </w:p>
        </w:tc>
      </w:tr>
      <w:tr w14:paraId="60AE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621E">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3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F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9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1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5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046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B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E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F928">
            <w:pPr>
              <w:jc w:val="center"/>
              <w:rPr>
                <w:rFonts w:hint="eastAsia" w:ascii="微软雅黑" w:hAnsi="微软雅黑" w:eastAsia="微软雅黑" w:cs="微软雅黑"/>
                <w:i/>
                <w:iCs/>
                <w:color w:val="000000"/>
                <w:sz w:val="16"/>
                <w:szCs w:val="16"/>
                <w:u w:val="none"/>
              </w:rPr>
            </w:pPr>
          </w:p>
        </w:tc>
      </w:tr>
      <w:tr w14:paraId="782A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71E3">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D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直接成本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E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9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0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571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330万元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B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F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C740">
            <w:pPr>
              <w:jc w:val="center"/>
              <w:rPr>
                <w:rFonts w:hint="eastAsia" w:ascii="微软雅黑" w:hAnsi="微软雅黑" w:eastAsia="微软雅黑" w:cs="微软雅黑"/>
                <w:i/>
                <w:iCs/>
                <w:color w:val="000000"/>
                <w:sz w:val="16"/>
                <w:szCs w:val="16"/>
                <w:u w:val="none"/>
              </w:rPr>
            </w:pPr>
          </w:p>
        </w:tc>
      </w:tr>
      <w:tr w14:paraId="445F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7F7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7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7A5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9AFE">
            <w:pPr>
              <w:rPr>
                <w:rFonts w:hint="eastAsia" w:ascii="宋体" w:hAnsi="宋体" w:eastAsia="宋体" w:cs="宋体"/>
                <w:i w:val="0"/>
                <w:iCs w:val="0"/>
                <w:color w:val="000000"/>
                <w:sz w:val="18"/>
                <w:szCs w:val="18"/>
                <w:u w:val="none"/>
              </w:rPr>
            </w:pPr>
          </w:p>
        </w:tc>
      </w:tr>
      <w:tr w14:paraId="4A88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0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79A4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保障我镇供水排水稳定，提高农业生产效率，降低农业成本。</w:t>
            </w:r>
          </w:p>
        </w:tc>
      </w:tr>
      <w:tr w14:paraId="0333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5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EB7F4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776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0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C699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2C5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4C104271">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53EB80C8">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2840F50B">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1C9487CF">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6993499">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9FF13EB">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1E9E474">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07C79576">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D2B2D9B">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5FAFC61">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7EEC9BA9">
            <w:pPr>
              <w:rPr>
                <w:rFonts w:hint="eastAsia" w:ascii="宋体" w:hAnsi="宋体" w:eastAsia="宋体" w:cs="宋体"/>
                <w:i w:val="0"/>
                <w:iCs w:val="0"/>
                <w:color w:val="000000"/>
                <w:sz w:val="18"/>
                <w:szCs w:val="18"/>
                <w:u w:val="none"/>
              </w:rPr>
            </w:pPr>
          </w:p>
        </w:tc>
      </w:tr>
      <w:tr w14:paraId="2C07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BED7F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B5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D93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A74E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51052123T000007794964-泸县毗卢镇业务用房维修加固项目</w:t>
            </w:r>
          </w:p>
        </w:tc>
      </w:tr>
      <w:tr w14:paraId="532E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A93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E7D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057E4F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4C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0FA0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BF8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C0B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ED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25BD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E1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DE90A">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F2F1">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57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强化业务用房安全性，业务用房维修维护有效提升房屋安全水平和抗震能力，改善办公环境和办公条件，降低运行能耗</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1CC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1105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569F">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03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9ABE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业务用房维修加固，包括屋面防水；内外墙抹灰；墙面喷涂料；拆除更换步梯、栏杆等</w:t>
            </w:r>
          </w:p>
        </w:tc>
      </w:tr>
      <w:tr w14:paraId="39D3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0F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7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B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4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A5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6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2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6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A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2E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D045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5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5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9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A1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2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E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E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E668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B6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A5EA3">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1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7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E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2C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8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0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2F3E3">
            <w:pPr>
              <w:rPr>
                <w:rFonts w:hint="eastAsia" w:ascii="黑体" w:hAnsi="黑体" w:eastAsia="黑体" w:cs="黑体"/>
                <w:i/>
                <w:iCs/>
                <w:color w:val="000000"/>
                <w:sz w:val="18"/>
                <w:szCs w:val="18"/>
                <w:u w:val="none"/>
              </w:rPr>
            </w:pPr>
          </w:p>
        </w:tc>
      </w:tr>
      <w:tr w14:paraId="72F8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95003">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2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90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6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0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0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576B">
            <w:pPr>
              <w:rPr>
                <w:rFonts w:hint="eastAsia" w:ascii="黑体" w:hAnsi="黑体" w:eastAsia="黑体" w:cs="黑体"/>
                <w:i/>
                <w:iCs/>
                <w:color w:val="000000"/>
                <w:sz w:val="18"/>
                <w:szCs w:val="18"/>
                <w:u w:val="none"/>
              </w:rPr>
            </w:pPr>
          </w:p>
        </w:tc>
      </w:tr>
      <w:tr w14:paraId="32F3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F04DF">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E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F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F7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D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C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1D64">
            <w:pPr>
              <w:rPr>
                <w:rFonts w:hint="eastAsia" w:ascii="黑体" w:hAnsi="黑体" w:eastAsia="黑体" w:cs="黑体"/>
                <w:i/>
                <w:iCs/>
                <w:color w:val="000000"/>
                <w:sz w:val="18"/>
                <w:szCs w:val="18"/>
                <w:u w:val="none"/>
              </w:rPr>
            </w:pPr>
          </w:p>
        </w:tc>
      </w:tr>
      <w:tr w14:paraId="14D3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32A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F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B9EB">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98DB">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D3BA9">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02E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1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229D">
            <w:pPr>
              <w:rPr>
                <w:rFonts w:hint="eastAsia" w:ascii="黑体" w:hAnsi="黑体" w:eastAsia="黑体" w:cs="黑体"/>
                <w:i/>
                <w:iCs/>
                <w:color w:val="000000"/>
                <w:sz w:val="18"/>
                <w:szCs w:val="18"/>
                <w:u w:val="none"/>
              </w:rPr>
            </w:pPr>
          </w:p>
        </w:tc>
      </w:tr>
      <w:tr w14:paraId="5CE7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9A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8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A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B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E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B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E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D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B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C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D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A4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9B324">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EE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D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加固项目数量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B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1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0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A00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4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E976">
            <w:pPr>
              <w:jc w:val="center"/>
              <w:rPr>
                <w:rFonts w:hint="eastAsia" w:ascii="宋体" w:hAnsi="宋体" w:eastAsia="宋体" w:cs="宋体"/>
                <w:i w:val="0"/>
                <w:iCs w:val="0"/>
                <w:color w:val="000000"/>
                <w:sz w:val="16"/>
                <w:szCs w:val="16"/>
                <w:u w:val="none"/>
              </w:rPr>
            </w:pPr>
          </w:p>
        </w:tc>
      </w:tr>
      <w:tr w14:paraId="209D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5C58E">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351EE">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6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F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加固项目耐用率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8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5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3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06A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7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C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593F">
            <w:pPr>
              <w:jc w:val="center"/>
              <w:rPr>
                <w:rFonts w:hint="eastAsia" w:ascii="微软雅黑" w:hAnsi="微软雅黑" w:eastAsia="微软雅黑" w:cs="微软雅黑"/>
                <w:i/>
                <w:iCs/>
                <w:color w:val="000000"/>
                <w:sz w:val="16"/>
                <w:szCs w:val="16"/>
                <w:u w:val="none"/>
              </w:rPr>
            </w:pPr>
          </w:p>
        </w:tc>
      </w:tr>
      <w:tr w14:paraId="2E08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6C69F">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9CA5">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0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2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0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F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1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FDF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1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9AC1">
            <w:pPr>
              <w:jc w:val="center"/>
              <w:rPr>
                <w:rFonts w:hint="eastAsia" w:ascii="微软雅黑" w:hAnsi="微软雅黑" w:eastAsia="微软雅黑" w:cs="微软雅黑"/>
                <w:i/>
                <w:iCs/>
                <w:color w:val="000000"/>
                <w:sz w:val="16"/>
                <w:szCs w:val="16"/>
                <w:u w:val="none"/>
              </w:rPr>
            </w:pPr>
          </w:p>
        </w:tc>
      </w:tr>
      <w:tr w14:paraId="4F98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460C">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A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C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3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办公效率提高率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B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8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9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9F6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E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B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6E86">
            <w:pPr>
              <w:jc w:val="center"/>
              <w:rPr>
                <w:rFonts w:hint="eastAsia" w:ascii="微软雅黑" w:hAnsi="微软雅黑" w:eastAsia="微软雅黑" w:cs="微软雅黑"/>
                <w:i/>
                <w:iCs/>
                <w:color w:val="000000"/>
                <w:sz w:val="16"/>
                <w:szCs w:val="16"/>
                <w:u w:val="none"/>
              </w:rPr>
            </w:pPr>
          </w:p>
        </w:tc>
      </w:tr>
      <w:tr w14:paraId="75DE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D880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0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3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B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A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E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EB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6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E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A6C0">
            <w:pPr>
              <w:jc w:val="center"/>
              <w:rPr>
                <w:rFonts w:hint="eastAsia" w:ascii="微软雅黑" w:hAnsi="微软雅黑" w:eastAsia="微软雅黑" w:cs="微软雅黑"/>
                <w:i/>
                <w:iCs/>
                <w:color w:val="000000"/>
                <w:sz w:val="16"/>
                <w:szCs w:val="16"/>
                <w:u w:val="none"/>
              </w:rPr>
            </w:pPr>
          </w:p>
        </w:tc>
      </w:tr>
      <w:tr w14:paraId="0C4E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DD8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1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1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5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直接成本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5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573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106万元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5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8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15D2">
            <w:pPr>
              <w:jc w:val="center"/>
              <w:rPr>
                <w:rFonts w:hint="eastAsia" w:ascii="微软雅黑" w:hAnsi="微软雅黑" w:eastAsia="微软雅黑" w:cs="微软雅黑"/>
                <w:i/>
                <w:iCs/>
                <w:color w:val="000000"/>
                <w:sz w:val="16"/>
                <w:szCs w:val="16"/>
                <w:u w:val="none"/>
              </w:rPr>
            </w:pPr>
          </w:p>
        </w:tc>
      </w:tr>
      <w:tr w14:paraId="25B2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16E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B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95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3364">
            <w:pPr>
              <w:rPr>
                <w:rFonts w:hint="eastAsia" w:ascii="宋体" w:hAnsi="宋体" w:eastAsia="宋体" w:cs="宋体"/>
                <w:i w:val="0"/>
                <w:iCs w:val="0"/>
                <w:color w:val="000000"/>
                <w:sz w:val="18"/>
                <w:szCs w:val="18"/>
                <w:u w:val="none"/>
              </w:rPr>
            </w:pPr>
          </w:p>
        </w:tc>
      </w:tr>
      <w:tr w14:paraId="67C3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E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612B6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 有效地提高房屋的安全性。提高房屋的承载能力和稳定性，从而保障人民的生命财产安全。2. 有效地延长房屋的使用寿命。通过加固，提高房屋的结构性能，延长房屋的使用寿命。3. 满足现代建筑规范要求。通过加固，可以使得房屋满足现代建筑规范的要求，适应现代社会的需求</w:t>
            </w:r>
          </w:p>
        </w:tc>
      </w:tr>
      <w:tr w14:paraId="30DE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B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BF140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212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3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B14D5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A0F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26E302D7">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7F85F8C3">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6CFBAB2A">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37DD18B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E778A9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434841F">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A5A0C51">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654B016">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E753DD8">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BD854C2">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76CEF3AE">
            <w:pPr>
              <w:rPr>
                <w:rFonts w:hint="eastAsia" w:ascii="宋体" w:hAnsi="宋体" w:eastAsia="宋体" w:cs="宋体"/>
                <w:i w:val="0"/>
                <w:iCs w:val="0"/>
                <w:color w:val="000000"/>
                <w:sz w:val="18"/>
                <w:szCs w:val="18"/>
                <w:u w:val="none"/>
              </w:rPr>
            </w:pPr>
          </w:p>
        </w:tc>
      </w:tr>
      <w:tr w14:paraId="1B17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5D4AC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59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E40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CFC7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51052123T000008940426-“入川即检”点位人员保障经费</w:t>
            </w:r>
          </w:p>
        </w:tc>
      </w:tr>
      <w:tr w14:paraId="0F8A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921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5F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5AB108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CD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54A2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61C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7DB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0D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2E6C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65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44BDA">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5C2A1">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3ED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合理使用经费，确保疫情防控得到成效</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E81D3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1B32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081FD">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B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B894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合理使用经费，确保疫情防控得到成效</w:t>
            </w:r>
          </w:p>
        </w:tc>
      </w:tr>
      <w:tr w14:paraId="46D0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91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E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F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5D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1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8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9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6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96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8201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9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A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D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18.59</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14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B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2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C807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62D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D998D">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6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2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18.59</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2A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3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5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C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9145">
            <w:pPr>
              <w:rPr>
                <w:rFonts w:hint="eastAsia" w:ascii="黑体" w:hAnsi="黑体" w:eastAsia="黑体" w:cs="黑体"/>
                <w:i/>
                <w:iCs/>
                <w:color w:val="000000"/>
                <w:sz w:val="18"/>
                <w:szCs w:val="18"/>
                <w:u w:val="none"/>
              </w:rPr>
            </w:pPr>
          </w:p>
        </w:tc>
      </w:tr>
      <w:tr w14:paraId="3FD0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80239">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7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0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1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45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3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6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5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6409">
            <w:pPr>
              <w:rPr>
                <w:rFonts w:hint="eastAsia" w:ascii="黑体" w:hAnsi="黑体" w:eastAsia="黑体" w:cs="黑体"/>
                <w:i/>
                <w:iCs/>
                <w:color w:val="000000"/>
                <w:sz w:val="18"/>
                <w:szCs w:val="18"/>
                <w:u w:val="none"/>
              </w:rPr>
            </w:pPr>
          </w:p>
        </w:tc>
      </w:tr>
      <w:tr w14:paraId="4B33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3FD1">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C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D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53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F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0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5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3FF8">
            <w:pPr>
              <w:rPr>
                <w:rFonts w:hint="eastAsia" w:ascii="黑体" w:hAnsi="黑体" w:eastAsia="黑体" w:cs="黑体"/>
                <w:i/>
                <w:iCs/>
                <w:color w:val="000000"/>
                <w:sz w:val="18"/>
                <w:szCs w:val="18"/>
                <w:u w:val="none"/>
              </w:rPr>
            </w:pPr>
          </w:p>
        </w:tc>
      </w:tr>
      <w:tr w14:paraId="2927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7085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7453">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3F9D">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5741B">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5A0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5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3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D128">
            <w:pPr>
              <w:rPr>
                <w:rFonts w:hint="eastAsia" w:ascii="黑体" w:hAnsi="黑体" w:eastAsia="黑体" w:cs="黑体"/>
                <w:i/>
                <w:iCs/>
                <w:color w:val="000000"/>
                <w:sz w:val="18"/>
                <w:szCs w:val="18"/>
                <w:u w:val="none"/>
              </w:rPr>
            </w:pPr>
          </w:p>
        </w:tc>
      </w:tr>
      <w:tr w14:paraId="305A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04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A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2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1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8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F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B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5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1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957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C14B">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AF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A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7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疫情防控卡点个数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4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E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06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9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3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B1C3">
            <w:pPr>
              <w:jc w:val="center"/>
              <w:rPr>
                <w:rFonts w:hint="eastAsia" w:ascii="微软雅黑" w:hAnsi="微软雅黑" w:eastAsia="微软雅黑" w:cs="微软雅黑"/>
                <w:i/>
                <w:iCs/>
                <w:color w:val="000000"/>
                <w:sz w:val="16"/>
                <w:szCs w:val="16"/>
                <w:u w:val="none"/>
              </w:rPr>
            </w:pPr>
          </w:p>
        </w:tc>
      </w:tr>
      <w:tr w14:paraId="391C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B0168">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D3164">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4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疫情防控质量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A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7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E14F">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830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9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D22F">
            <w:pPr>
              <w:jc w:val="center"/>
              <w:rPr>
                <w:rFonts w:hint="eastAsia" w:ascii="微软雅黑" w:hAnsi="微软雅黑" w:eastAsia="微软雅黑" w:cs="微软雅黑"/>
                <w:i/>
                <w:iCs/>
                <w:color w:val="000000"/>
                <w:sz w:val="16"/>
                <w:szCs w:val="16"/>
                <w:u w:val="none"/>
              </w:rPr>
            </w:pPr>
          </w:p>
        </w:tc>
      </w:tr>
      <w:tr w14:paraId="456E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455D">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1804">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D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E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F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D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D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F1E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E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C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DF7A">
            <w:pPr>
              <w:jc w:val="center"/>
              <w:rPr>
                <w:rFonts w:hint="eastAsia" w:ascii="微软雅黑" w:hAnsi="微软雅黑" w:eastAsia="微软雅黑" w:cs="微软雅黑"/>
                <w:i/>
                <w:iCs/>
                <w:color w:val="000000"/>
                <w:sz w:val="16"/>
                <w:szCs w:val="16"/>
                <w:u w:val="none"/>
              </w:rPr>
            </w:pPr>
          </w:p>
        </w:tc>
      </w:tr>
      <w:tr w14:paraId="25E6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8FE1">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D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3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0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确保全镇疫情防控获得成效</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F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6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F8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A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3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C544">
            <w:pPr>
              <w:jc w:val="center"/>
              <w:rPr>
                <w:rFonts w:hint="eastAsia" w:ascii="微软雅黑" w:hAnsi="微软雅黑" w:eastAsia="微软雅黑" w:cs="微软雅黑"/>
                <w:i/>
                <w:iCs/>
                <w:color w:val="000000"/>
                <w:sz w:val="16"/>
                <w:szCs w:val="16"/>
                <w:u w:val="none"/>
              </w:rPr>
            </w:pPr>
          </w:p>
        </w:tc>
      </w:tr>
      <w:tr w14:paraId="3CE7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C149">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5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A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A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5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4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F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9D0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1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7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E596">
            <w:pPr>
              <w:jc w:val="center"/>
              <w:rPr>
                <w:rFonts w:hint="eastAsia" w:ascii="微软雅黑" w:hAnsi="微软雅黑" w:eastAsia="微软雅黑" w:cs="微软雅黑"/>
                <w:i/>
                <w:iCs/>
                <w:color w:val="000000"/>
                <w:sz w:val="16"/>
                <w:szCs w:val="16"/>
                <w:u w:val="none"/>
              </w:rPr>
            </w:pPr>
          </w:p>
        </w:tc>
      </w:tr>
      <w:tr w14:paraId="32DB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9BA7">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5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D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8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直接成本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E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C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0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022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18.59万元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1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7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760F">
            <w:pPr>
              <w:jc w:val="center"/>
              <w:rPr>
                <w:rFonts w:hint="eastAsia" w:ascii="微软雅黑" w:hAnsi="微软雅黑" w:eastAsia="微软雅黑" w:cs="微软雅黑"/>
                <w:i/>
                <w:iCs/>
                <w:color w:val="000000"/>
                <w:sz w:val="16"/>
                <w:szCs w:val="16"/>
                <w:u w:val="none"/>
              </w:rPr>
            </w:pPr>
          </w:p>
        </w:tc>
      </w:tr>
      <w:tr w14:paraId="251C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484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3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5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CCBA">
            <w:pPr>
              <w:rPr>
                <w:rFonts w:hint="eastAsia" w:ascii="宋体" w:hAnsi="宋体" w:eastAsia="宋体" w:cs="宋体"/>
                <w:i w:val="0"/>
                <w:iCs w:val="0"/>
                <w:color w:val="000000"/>
                <w:sz w:val="18"/>
                <w:szCs w:val="18"/>
                <w:u w:val="none"/>
              </w:rPr>
            </w:pPr>
          </w:p>
        </w:tc>
      </w:tr>
      <w:tr w14:paraId="69D8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2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69C10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全力保障疫情防控工作顺利开展，切实守护群众生命健康，提升疫情防控服务质量</w:t>
            </w:r>
          </w:p>
        </w:tc>
      </w:tr>
      <w:tr w14:paraId="30D6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D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2EC3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B0A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3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31B66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4DC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2171B42D">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5F530BF6">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1A236E61">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7DA22B07">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9F65CD6">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25DC419C">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19E0A14">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5DE0B8E">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75ABDBF">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22B602E">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49C8D95A">
            <w:pPr>
              <w:rPr>
                <w:rFonts w:hint="eastAsia" w:ascii="宋体" w:hAnsi="宋体" w:eastAsia="宋体" w:cs="宋体"/>
                <w:i w:val="0"/>
                <w:iCs w:val="0"/>
                <w:color w:val="000000"/>
                <w:sz w:val="18"/>
                <w:szCs w:val="18"/>
                <w:u w:val="none"/>
              </w:rPr>
            </w:pPr>
          </w:p>
        </w:tc>
      </w:tr>
      <w:tr w14:paraId="1E56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B2A92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81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5C5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7311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51052123T000009463324-PL2021-36土地出让金</w:t>
            </w:r>
          </w:p>
        </w:tc>
      </w:tr>
      <w:tr w14:paraId="0BAE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908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51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57EB2E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37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2269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CF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021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FF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C0C8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52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5051">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76E25">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239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强化土地出让金使用效率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55F0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7662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AA5B0">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7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FCD0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保障单位正常运转，提高资产使用效率</w:t>
            </w:r>
          </w:p>
        </w:tc>
      </w:tr>
      <w:tr w14:paraId="1F0B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91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3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3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7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E9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1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D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F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F4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D473E">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F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D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172.07</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2C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9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4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9155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BCB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E077E">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0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4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B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172.07</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C2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4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9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EFAD">
            <w:pPr>
              <w:rPr>
                <w:rFonts w:hint="eastAsia" w:ascii="黑体" w:hAnsi="黑体" w:eastAsia="黑体" w:cs="黑体"/>
                <w:i/>
                <w:iCs/>
                <w:color w:val="000000"/>
                <w:sz w:val="18"/>
                <w:szCs w:val="18"/>
                <w:u w:val="none"/>
              </w:rPr>
            </w:pPr>
          </w:p>
        </w:tc>
      </w:tr>
      <w:tr w14:paraId="5288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C9094">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D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2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1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63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A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4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57A0C">
            <w:pPr>
              <w:rPr>
                <w:rFonts w:hint="eastAsia" w:ascii="黑体" w:hAnsi="黑体" w:eastAsia="黑体" w:cs="黑体"/>
                <w:i/>
                <w:iCs/>
                <w:color w:val="000000"/>
                <w:sz w:val="18"/>
                <w:szCs w:val="18"/>
                <w:u w:val="none"/>
              </w:rPr>
            </w:pPr>
          </w:p>
        </w:tc>
      </w:tr>
      <w:tr w14:paraId="465E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5E0D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9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D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9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62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6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9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F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057F7">
            <w:pPr>
              <w:rPr>
                <w:rFonts w:hint="eastAsia" w:ascii="黑体" w:hAnsi="黑体" w:eastAsia="黑体" w:cs="黑体"/>
                <w:i/>
                <w:iCs/>
                <w:color w:val="000000"/>
                <w:sz w:val="18"/>
                <w:szCs w:val="18"/>
                <w:u w:val="none"/>
              </w:rPr>
            </w:pPr>
          </w:p>
        </w:tc>
      </w:tr>
      <w:tr w14:paraId="37CB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6CD14">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9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BD9C">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9E3E">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5F193">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4EB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B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779F8">
            <w:pPr>
              <w:rPr>
                <w:rFonts w:hint="eastAsia" w:ascii="黑体" w:hAnsi="黑体" w:eastAsia="黑体" w:cs="黑体"/>
                <w:i/>
                <w:iCs/>
                <w:color w:val="000000"/>
                <w:sz w:val="18"/>
                <w:szCs w:val="18"/>
                <w:u w:val="none"/>
              </w:rPr>
            </w:pPr>
          </w:p>
        </w:tc>
      </w:tr>
      <w:tr w14:paraId="7F8D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2C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0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E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4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9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D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F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A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2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5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0ED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A663">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38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A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D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E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F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172.07</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C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3F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172.07万元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7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6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B69D">
            <w:pPr>
              <w:jc w:val="center"/>
              <w:rPr>
                <w:rFonts w:hint="eastAsia" w:ascii="微软雅黑" w:hAnsi="微软雅黑" w:eastAsia="微软雅黑" w:cs="微软雅黑"/>
                <w:i/>
                <w:iCs/>
                <w:color w:val="000000"/>
                <w:sz w:val="16"/>
                <w:szCs w:val="16"/>
                <w:u w:val="none"/>
              </w:rPr>
            </w:pPr>
          </w:p>
        </w:tc>
      </w:tr>
      <w:tr w14:paraId="72A2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D5A1B">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DAF7">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E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6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资金使用有效性</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C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8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E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4E0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C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5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35F9">
            <w:pPr>
              <w:jc w:val="center"/>
              <w:rPr>
                <w:rFonts w:hint="eastAsia" w:ascii="微软雅黑" w:hAnsi="微软雅黑" w:eastAsia="微软雅黑" w:cs="微软雅黑"/>
                <w:i/>
                <w:iCs/>
                <w:color w:val="000000"/>
                <w:sz w:val="16"/>
                <w:szCs w:val="16"/>
                <w:u w:val="none"/>
              </w:rPr>
            </w:pPr>
          </w:p>
        </w:tc>
      </w:tr>
      <w:tr w14:paraId="3507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482A">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5E89">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F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1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0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C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D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FCE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B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F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7250">
            <w:pPr>
              <w:jc w:val="center"/>
              <w:rPr>
                <w:rFonts w:hint="eastAsia" w:ascii="微软雅黑" w:hAnsi="微软雅黑" w:eastAsia="微软雅黑" w:cs="微软雅黑"/>
                <w:i/>
                <w:iCs/>
                <w:color w:val="000000"/>
                <w:sz w:val="16"/>
                <w:szCs w:val="16"/>
                <w:u w:val="none"/>
              </w:rPr>
            </w:pPr>
          </w:p>
        </w:tc>
      </w:tr>
      <w:tr w14:paraId="170B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C774">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8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C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D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资产使用效益</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1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EE76">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001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有效提高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6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4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3605">
            <w:pPr>
              <w:jc w:val="center"/>
              <w:rPr>
                <w:rFonts w:hint="eastAsia" w:ascii="微软雅黑" w:hAnsi="微软雅黑" w:eastAsia="微软雅黑" w:cs="微软雅黑"/>
                <w:i/>
                <w:iCs/>
                <w:color w:val="000000"/>
                <w:sz w:val="16"/>
                <w:szCs w:val="16"/>
                <w:u w:val="none"/>
              </w:rPr>
            </w:pPr>
          </w:p>
        </w:tc>
      </w:tr>
      <w:tr w14:paraId="6822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2060F">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7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0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5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2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D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1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67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9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78E">
            <w:pPr>
              <w:jc w:val="center"/>
              <w:rPr>
                <w:rFonts w:hint="eastAsia" w:ascii="微软雅黑" w:hAnsi="微软雅黑" w:eastAsia="微软雅黑" w:cs="微软雅黑"/>
                <w:i/>
                <w:iCs/>
                <w:color w:val="000000"/>
                <w:sz w:val="16"/>
                <w:szCs w:val="16"/>
                <w:u w:val="none"/>
              </w:rPr>
            </w:pPr>
          </w:p>
        </w:tc>
      </w:tr>
      <w:tr w14:paraId="0AB6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80E93">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1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6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F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172.07</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B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5E5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172.07万元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0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7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06BC">
            <w:pPr>
              <w:jc w:val="center"/>
              <w:rPr>
                <w:rFonts w:hint="eastAsia" w:ascii="微软雅黑" w:hAnsi="微软雅黑" w:eastAsia="微软雅黑" w:cs="微软雅黑"/>
                <w:i/>
                <w:iCs/>
                <w:color w:val="000000"/>
                <w:sz w:val="16"/>
                <w:szCs w:val="16"/>
                <w:u w:val="none"/>
              </w:rPr>
            </w:pPr>
          </w:p>
        </w:tc>
      </w:tr>
      <w:tr w14:paraId="0F03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294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A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42A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19F0">
            <w:pPr>
              <w:rPr>
                <w:rFonts w:hint="eastAsia" w:ascii="宋体" w:hAnsi="宋体" w:eastAsia="宋体" w:cs="宋体"/>
                <w:i w:val="0"/>
                <w:iCs w:val="0"/>
                <w:color w:val="000000"/>
                <w:sz w:val="18"/>
                <w:szCs w:val="18"/>
                <w:u w:val="none"/>
              </w:rPr>
            </w:pPr>
          </w:p>
        </w:tc>
      </w:tr>
      <w:tr w14:paraId="4644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A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B4CC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保障单位正常运转，提高资产使用效率</w:t>
            </w:r>
          </w:p>
        </w:tc>
      </w:tr>
      <w:tr w14:paraId="6045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7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4F28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BBD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2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F600D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BA0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713C598E">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7C965848">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291C53A8">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119F749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81A6094">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7DAF204">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03CF66F">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53EA10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E266830">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1DD8109">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4BBE4AE6">
            <w:pPr>
              <w:rPr>
                <w:rFonts w:hint="eastAsia" w:ascii="宋体" w:hAnsi="宋体" w:eastAsia="宋体" w:cs="宋体"/>
                <w:i w:val="0"/>
                <w:iCs w:val="0"/>
                <w:color w:val="000000"/>
                <w:sz w:val="18"/>
                <w:szCs w:val="18"/>
                <w:u w:val="none"/>
              </w:rPr>
            </w:pPr>
          </w:p>
        </w:tc>
      </w:tr>
      <w:tr w14:paraId="5A58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86B83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64F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051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C53E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51052123T000009488132-泸县毗卢镇莲花村2022年重点帮扶村产业发展项目</w:t>
            </w:r>
          </w:p>
        </w:tc>
      </w:tr>
      <w:tr w14:paraId="55DE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1BE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ACB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4996F0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8D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310C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622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4E2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24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6DB5F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95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0A724">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F0C8">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A058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按时开工，按时验收，按时完成资金拨付</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959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4049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74641">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F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F6B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建设毗卢镇莲花村2社、6社产业园配套提灌站2处，管网延伸约2670米等配套基础设施等</w:t>
            </w:r>
          </w:p>
        </w:tc>
      </w:tr>
      <w:tr w14:paraId="7E10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FD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2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7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A4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5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B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5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C3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4967E">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D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B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8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D6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5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8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E04E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38B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0587">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9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4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5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E6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1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F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0EE74">
            <w:pPr>
              <w:rPr>
                <w:rFonts w:hint="eastAsia" w:ascii="黑体" w:hAnsi="黑体" w:eastAsia="黑体" w:cs="黑体"/>
                <w:i/>
                <w:iCs/>
                <w:color w:val="000000"/>
                <w:sz w:val="18"/>
                <w:szCs w:val="18"/>
                <w:u w:val="none"/>
              </w:rPr>
            </w:pPr>
          </w:p>
        </w:tc>
      </w:tr>
      <w:tr w14:paraId="72E2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3F7AF">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6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9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BD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9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7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9D72">
            <w:pPr>
              <w:rPr>
                <w:rFonts w:hint="eastAsia" w:ascii="黑体" w:hAnsi="黑体" w:eastAsia="黑体" w:cs="黑体"/>
                <w:i/>
                <w:iCs/>
                <w:color w:val="000000"/>
                <w:sz w:val="18"/>
                <w:szCs w:val="18"/>
                <w:u w:val="none"/>
              </w:rPr>
            </w:pPr>
          </w:p>
        </w:tc>
      </w:tr>
      <w:tr w14:paraId="2676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7E2B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0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9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67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2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B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D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C1E78">
            <w:pPr>
              <w:rPr>
                <w:rFonts w:hint="eastAsia" w:ascii="黑体" w:hAnsi="黑体" w:eastAsia="黑体" w:cs="黑体"/>
                <w:i/>
                <w:iCs/>
                <w:color w:val="000000"/>
                <w:sz w:val="18"/>
                <w:szCs w:val="18"/>
                <w:u w:val="none"/>
              </w:rPr>
            </w:pPr>
          </w:p>
        </w:tc>
      </w:tr>
      <w:tr w14:paraId="1201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E08BE">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D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78BA">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BCDF">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3563B">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E32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1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F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4AE46">
            <w:pPr>
              <w:rPr>
                <w:rFonts w:hint="eastAsia" w:ascii="黑体" w:hAnsi="黑体" w:eastAsia="黑体" w:cs="黑体"/>
                <w:i/>
                <w:iCs/>
                <w:color w:val="000000"/>
                <w:sz w:val="18"/>
                <w:szCs w:val="18"/>
                <w:u w:val="none"/>
              </w:rPr>
            </w:pPr>
          </w:p>
        </w:tc>
      </w:tr>
      <w:tr w14:paraId="05D9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CE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0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9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7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9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7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B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6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A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369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AF2F0">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F8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8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7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整治山坪塘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6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9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D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口</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33A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5口</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7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6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4AC0">
            <w:pPr>
              <w:jc w:val="center"/>
              <w:rPr>
                <w:rFonts w:hint="eastAsia" w:ascii="微软雅黑" w:hAnsi="微软雅黑" w:eastAsia="微软雅黑" w:cs="微软雅黑"/>
                <w:i/>
                <w:iCs/>
                <w:color w:val="000000"/>
                <w:sz w:val="16"/>
                <w:szCs w:val="16"/>
                <w:u w:val="none"/>
              </w:rPr>
            </w:pPr>
          </w:p>
        </w:tc>
      </w:tr>
      <w:tr w14:paraId="21DC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7815">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9BF53">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3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3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建成验收合格率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8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3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B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121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B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1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424C">
            <w:pPr>
              <w:jc w:val="center"/>
              <w:rPr>
                <w:rFonts w:hint="eastAsia" w:ascii="微软雅黑" w:hAnsi="微软雅黑" w:eastAsia="微软雅黑" w:cs="微软雅黑"/>
                <w:i/>
                <w:iCs/>
                <w:color w:val="000000"/>
                <w:sz w:val="16"/>
                <w:szCs w:val="16"/>
                <w:u w:val="none"/>
              </w:rPr>
            </w:pPr>
          </w:p>
        </w:tc>
      </w:tr>
      <w:tr w14:paraId="6AD8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E498F">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B227A">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D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1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资金在规定时间内支付到位率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A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5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C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24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7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D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D50B">
            <w:pPr>
              <w:jc w:val="center"/>
              <w:rPr>
                <w:rFonts w:hint="eastAsia" w:ascii="微软雅黑" w:hAnsi="微软雅黑" w:eastAsia="微软雅黑" w:cs="微软雅黑"/>
                <w:i/>
                <w:iCs/>
                <w:color w:val="000000"/>
                <w:sz w:val="16"/>
                <w:szCs w:val="16"/>
                <w:u w:val="none"/>
              </w:rPr>
            </w:pPr>
          </w:p>
        </w:tc>
      </w:tr>
      <w:tr w14:paraId="33C6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ED028">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F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9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受益建档立卡脱贫户人数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0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3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50C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7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6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F5E1">
            <w:pPr>
              <w:jc w:val="center"/>
              <w:rPr>
                <w:rFonts w:hint="eastAsia" w:ascii="微软雅黑" w:hAnsi="微软雅黑" w:eastAsia="微软雅黑" w:cs="微软雅黑"/>
                <w:i/>
                <w:iCs/>
                <w:color w:val="000000"/>
                <w:sz w:val="16"/>
                <w:szCs w:val="16"/>
                <w:u w:val="none"/>
              </w:rPr>
            </w:pPr>
          </w:p>
        </w:tc>
      </w:tr>
      <w:tr w14:paraId="4065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7FFE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2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F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A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6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F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916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8EB0">
            <w:pPr>
              <w:jc w:val="center"/>
              <w:rPr>
                <w:rFonts w:hint="eastAsia" w:ascii="微软雅黑" w:hAnsi="微软雅黑" w:eastAsia="微软雅黑" w:cs="微软雅黑"/>
                <w:i/>
                <w:iCs/>
                <w:color w:val="000000"/>
                <w:sz w:val="16"/>
                <w:szCs w:val="16"/>
                <w:u w:val="none"/>
              </w:rPr>
            </w:pPr>
          </w:p>
        </w:tc>
      </w:tr>
      <w:tr w14:paraId="32E1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4704">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3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5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4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9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0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822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120万元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1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F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08C0">
            <w:pPr>
              <w:jc w:val="center"/>
              <w:rPr>
                <w:rFonts w:hint="eastAsia" w:ascii="微软雅黑" w:hAnsi="微软雅黑" w:eastAsia="微软雅黑" w:cs="微软雅黑"/>
                <w:i/>
                <w:iCs/>
                <w:color w:val="000000"/>
                <w:sz w:val="16"/>
                <w:szCs w:val="16"/>
                <w:u w:val="none"/>
              </w:rPr>
            </w:pPr>
          </w:p>
        </w:tc>
      </w:tr>
      <w:tr w14:paraId="1758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660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0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03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7C9C">
            <w:pPr>
              <w:rPr>
                <w:rFonts w:hint="eastAsia" w:ascii="宋体" w:hAnsi="宋体" w:eastAsia="宋体" w:cs="宋体"/>
                <w:i w:val="0"/>
                <w:iCs w:val="0"/>
                <w:color w:val="000000"/>
                <w:sz w:val="18"/>
                <w:szCs w:val="18"/>
                <w:u w:val="none"/>
              </w:rPr>
            </w:pPr>
          </w:p>
        </w:tc>
      </w:tr>
      <w:tr w14:paraId="4BBC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B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55DC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自评得分100分，可进一步改善脱贫户的生产生活条件，提高脱贫户生活质量，切实增强群众获得感和幸福感。</w:t>
            </w:r>
          </w:p>
        </w:tc>
      </w:tr>
      <w:tr w14:paraId="6978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E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9DA15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112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2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8D06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0B2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51105296">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060D3FA9">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774747CD">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102389FA">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4CFF5AD">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362632F7">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4409700">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0C6BA5A2">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0360BA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E6B67F5">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549C437">
            <w:pPr>
              <w:rPr>
                <w:rFonts w:hint="eastAsia" w:ascii="宋体" w:hAnsi="宋体" w:eastAsia="宋体" w:cs="宋体"/>
                <w:i w:val="0"/>
                <w:iCs w:val="0"/>
                <w:color w:val="000000"/>
                <w:sz w:val="18"/>
                <w:szCs w:val="18"/>
                <w:u w:val="none"/>
              </w:rPr>
            </w:pPr>
          </w:p>
        </w:tc>
      </w:tr>
      <w:tr w14:paraId="2ECA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D0EBA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F7A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C65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C91D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51052123T000009650030-灌区饮水安全项目</w:t>
            </w:r>
          </w:p>
        </w:tc>
      </w:tr>
      <w:tr w14:paraId="26E5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DC8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EA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57F071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BA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4886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72A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1E6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62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94119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E8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3BA9">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AB5F">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85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强化灌区饮水安全及相关建设</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52B2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693A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5DF20">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35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19D2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强化灌区饮水安全及相关建设</w:t>
            </w:r>
          </w:p>
        </w:tc>
      </w:tr>
      <w:tr w14:paraId="3B5C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49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D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9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C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A6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2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1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D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6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02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B2768">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B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38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9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9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6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8A87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5DE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FE7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E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B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4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A8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5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3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D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63FBF">
            <w:pPr>
              <w:rPr>
                <w:rFonts w:hint="eastAsia" w:ascii="黑体" w:hAnsi="黑体" w:eastAsia="黑体" w:cs="黑体"/>
                <w:i/>
                <w:iCs/>
                <w:color w:val="000000"/>
                <w:sz w:val="18"/>
                <w:szCs w:val="18"/>
                <w:u w:val="none"/>
              </w:rPr>
            </w:pPr>
          </w:p>
        </w:tc>
      </w:tr>
      <w:tr w14:paraId="7EF5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D18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7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E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9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03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B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4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4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886D">
            <w:pPr>
              <w:rPr>
                <w:rFonts w:hint="eastAsia" w:ascii="黑体" w:hAnsi="黑体" w:eastAsia="黑体" w:cs="黑体"/>
                <w:i/>
                <w:iCs/>
                <w:color w:val="000000"/>
                <w:sz w:val="18"/>
                <w:szCs w:val="18"/>
                <w:u w:val="none"/>
              </w:rPr>
            </w:pPr>
          </w:p>
        </w:tc>
      </w:tr>
      <w:tr w14:paraId="761E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024A5">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1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5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1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17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9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F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31FB">
            <w:pPr>
              <w:rPr>
                <w:rFonts w:hint="eastAsia" w:ascii="黑体" w:hAnsi="黑体" w:eastAsia="黑体" w:cs="黑体"/>
                <w:i/>
                <w:iCs/>
                <w:color w:val="000000"/>
                <w:sz w:val="18"/>
                <w:szCs w:val="18"/>
                <w:u w:val="none"/>
              </w:rPr>
            </w:pPr>
          </w:p>
        </w:tc>
      </w:tr>
      <w:tr w14:paraId="14D2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673E">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D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F9EE">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6232">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1D610">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249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9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82F06">
            <w:pPr>
              <w:rPr>
                <w:rFonts w:hint="eastAsia" w:ascii="黑体" w:hAnsi="黑体" w:eastAsia="黑体" w:cs="黑体"/>
                <w:i/>
                <w:iCs/>
                <w:color w:val="000000"/>
                <w:sz w:val="18"/>
                <w:szCs w:val="18"/>
                <w:u w:val="none"/>
              </w:rPr>
            </w:pPr>
          </w:p>
        </w:tc>
      </w:tr>
      <w:tr w14:paraId="3016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A0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8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C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8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8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B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3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8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5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B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48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13DE">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31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2E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0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E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4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C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433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150万元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6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E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39F8">
            <w:pPr>
              <w:jc w:val="center"/>
              <w:rPr>
                <w:rFonts w:hint="eastAsia" w:ascii="微软雅黑" w:hAnsi="微软雅黑" w:eastAsia="微软雅黑" w:cs="微软雅黑"/>
                <w:i/>
                <w:iCs/>
                <w:color w:val="000000"/>
                <w:sz w:val="16"/>
                <w:szCs w:val="16"/>
                <w:u w:val="none"/>
              </w:rPr>
            </w:pPr>
          </w:p>
        </w:tc>
      </w:tr>
      <w:tr w14:paraId="112A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7ADE">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1EA8">
            <w:pPr>
              <w:jc w:val="center"/>
              <w:rPr>
                <w:rFonts w:hint="eastAsia" w:ascii="宋体" w:hAnsi="宋体" w:eastAsia="宋体" w:cs="宋体"/>
                <w:i w:val="0"/>
                <w:iCs w:val="0"/>
                <w:color w:val="000000"/>
                <w:sz w:val="18"/>
                <w:szCs w:val="1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718D">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A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灌溉管网个数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3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E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D85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C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8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7DD0">
            <w:pPr>
              <w:jc w:val="center"/>
              <w:rPr>
                <w:rFonts w:hint="eastAsia" w:ascii="微软雅黑" w:hAnsi="微软雅黑" w:eastAsia="微软雅黑" w:cs="微软雅黑"/>
                <w:i/>
                <w:iCs/>
                <w:color w:val="000000"/>
                <w:sz w:val="16"/>
                <w:szCs w:val="16"/>
                <w:u w:val="none"/>
              </w:rPr>
            </w:pPr>
          </w:p>
        </w:tc>
      </w:tr>
      <w:tr w14:paraId="5530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E5878">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3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9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8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群众收入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B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0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6247">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2DB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3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0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86FD">
            <w:pPr>
              <w:jc w:val="center"/>
              <w:rPr>
                <w:rFonts w:hint="eastAsia" w:ascii="微软雅黑" w:hAnsi="微软雅黑" w:eastAsia="微软雅黑" w:cs="微软雅黑"/>
                <w:i/>
                <w:iCs/>
                <w:color w:val="000000"/>
                <w:sz w:val="16"/>
                <w:szCs w:val="16"/>
                <w:u w:val="none"/>
              </w:rPr>
            </w:pPr>
          </w:p>
        </w:tc>
      </w:tr>
      <w:tr w14:paraId="7E27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67DA2">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2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6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3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C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6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4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A07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F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028">
            <w:pPr>
              <w:jc w:val="center"/>
              <w:rPr>
                <w:rFonts w:hint="eastAsia" w:ascii="微软雅黑" w:hAnsi="微软雅黑" w:eastAsia="微软雅黑" w:cs="微软雅黑"/>
                <w:i/>
                <w:iCs/>
                <w:color w:val="000000"/>
                <w:sz w:val="16"/>
                <w:szCs w:val="16"/>
                <w:u w:val="none"/>
              </w:rPr>
            </w:pPr>
          </w:p>
        </w:tc>
      </w:tr>
      <w:tr w14:paraId="2640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07DB5">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3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F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4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0E3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150万元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A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9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520A">
            <w:pPr>
              <w:jc w:val="center"/>
              <w:rPr>
                <w:rFonts w:hint="eastAsia" w:ascii="微软雅黑" w:hAnsi="微软雅黑" w:eastAsia="微软雅黑" w:cs="微软雅黑"/>
                <w:i/>
                <w:iCs/>
                <w:color w:val="000000"/>
                <w:sz w:val="16"/>
                <w:szCs w:val="16"/>
                <w:u w:val="none"/>
              </w:rPr>
            </w:pPr>
          </w:p>
        </w:tc>
      </w:tr>
      <w:tr w14:paraId="70B5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691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0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06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6D67">
            <w:pPr>
              <w:rPr>
                <w:rFonts w:hint="eastAsia" w:ascii="宋体" w:hAnsi="宋体" w:eastAsia="宋体" w:cs="宋体"/>
                <w:i w:val="0"/>
                <w:iCs w:val="0"/>
                <w:color w:val="000000"/>
                <w:sz w:val="18"/>
                <w:szCs w:val="18"/>
                <w:u w:val="none"/>
              </w:rPr>
            </w:pPr>
          </w:p>
        </w:tc>
      </w:tr>
      <w:tr w14:paraId="5A89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6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842F6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保障我镇供水排水稳定，提高农业生产效率，降低农业成本。</w:t>
            </w:r>
          </w:p>
        </w:tc>
      </w:tr>
      <w:tr w14:paraId="4D01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ED8C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5EE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4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4C4F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E96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29F455B9">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0C2AFB9F">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6CB365FC">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6894B06E">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77E6B23">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2C776B0D">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9722F79">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4F4BB408">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B06D881">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85A343C">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3BD39A9">
            <w:pPr>
              <w:rPr>
                <w:rFonts w:hint="eastAsia" w:ascii="宋体" w:hAnsi="宋体" w:eastAsia="宋体" w:cs="宋体"/>
                <w:i w:val="0"/>
                <w:iCs w:val="0"/>
                <w:color w:val="000000"/>
                <w:sz w:val="18"/>
                <w:szCs w:val="18"/>
                <w:u w:val="none"/>
              </w:rPr>
            </w:pPr>
          </w:p>
        </w:tc>
      </w:tr>
      <w:tr w14:paraId="6FFC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BB914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90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F2F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C6DD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51052123T000009650057-河道整治及基础配套项目</w:t>
            </w:r>
          </w:p>
        </w:tc>
      </w:tr>
      <w:tr w14:paraId="0BC7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5C4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4E1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36B813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43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2E44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E9E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076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3C2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B43A7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C3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78173">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ABD9E">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7C3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优化河道安全及相关配套设施建设</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4996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5398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B6034">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3C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6624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灌区基础设施配套建设</w:t>
            </w:r>
          </w:p>
        </w:tc>
      </w:tr>
      <w:tr w14:paraId="2D61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F0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E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6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12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2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2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B7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5151">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7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6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7D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A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7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E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A98A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B2C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1E00E">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2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B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E9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2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B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1D128">
            <w:pPr>
              <w:rPr>
                <w:rFonts w:hint="eastAsia" w:ascii="黑体" w:hAnsi="黑体" w:eastAsia="黑体" w:cs="黑体"/>
                <w:i/>
                <w:iCs/>
                <w:color w:val="000000"/>
                <w:sz w:val="18"/>
                <w:szCs w:val="18"/>
                <w:u w:val="none"/>
              </w:rPr>
            </w:pPr>
          </w:p>
        </w:tc>
      </w:tr>
      <w:tr w14:paraId="169F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428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B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8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4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D4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C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5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B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CD14">
            <w:pPr>
              <w:rPr>
                <w:rFonts w:hint="eastAsia" w:ascii="黑体" w:hAnsi="黑体" w:eastAsia="黑体" w:cs="黑体"/>
                <w:i/>
                <w:iCs/>
                <w:color w:val="000000"/>
                <w:sz w:val="18"/>
                <w:szCs w:val="18"/>
                <w:u w:val="none"/>
              </w:rPr>
            </w:pPr>
          </w:p>
        </w:tc>
      </w:tr>
      <w:tr w14:paraId="4050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386C1">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4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1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4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41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B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9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2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F8FE">
            <w:pPr>
              <w:rPr>
                <w:rFonts w:hint="eastAsia" w:ascii="黑体" w:hAnsi="黑体" w:eastAsia="黑体" w:cs="黑体"/>
                <w:i/>
                <w:iCs/>
                <w:color w:val="000000"/>
                <w:sz w:val="18"/>
                <w:szCs w:val="18"/>
                <w:u w:val="none"/>
              </w:rPr>
            </w:pPr>
          </w:p>
        </w:tc>
      </w:tr>
      <w:tr w14:paraId="6903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665B4">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4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B454">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37C2">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5DF0F">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D8C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F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57A5">
            <w:pPr>
              <w:rPr>
                <w:rFonts w:hint="eastAsia" w:ascii="黑体" w:hAnsi="黑体" w:eastAsia="黑体" w:cs="黑体"/>
                <w:i/>
                <w:iCs/>
                <w:color w:val="000000"/>
                <w:sz w:val="18"/>
                <w:szCs w:val="18"/>
                <w:u w:val="none"/>
              </w:rPr>
            </w:pPr>
          </w:p>
        </w:tc>
      </w:tr>
      <w:tr w14:paraId="182E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9A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5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A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B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F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B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F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2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B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0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B14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C18B3">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2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0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3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9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6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7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C0B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C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2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2135">
            <w:pPr>
              <w:jc w:val="center"/>
              <w:rPr>
                <w:rFonts w:hint="eastAsia" w:ascii="微软雅黑" w:hAnsi="微软雅黑" w:eastAsia="微软雅黑" w:cs="微软雅黑"/>
                <w:i/>
                <w:iCs/>
                <w:color w:val="000000"/>
                <w:sz w:val="16"/>
                <w:szCs w:val="16"/>
                <w:u w:val="none"/>
              </w:rPr>
            </w:pPr>
          </w:p>
        </w:tc>
      </w:tr>
      <w:tr w14:paraId="0F33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981C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9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D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5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群众收入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4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8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1E3F">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64F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6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3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873A">
            <w:pPr>
              <w:jc w:val="center"/>
              <w:rPr>
                <w:rFonts w:hint="eastAsia" w:ascii="微软雅黑" w:hAnsi="微软雅黑" w:eastAsia="微软雅黑" w:cs="微软雅黑"/>
                <w:i/>
                <w:iCs/>
                <w:color w:val="000000"/>
                <w:sz w:val="16"/>
                <w:szCs w:val="16"/>
                <w:u w:val="none"/>
              </w:rPr>
            </w:pPr>
          </w:p>
        </w:tc>
      </w:tr>
      <w:tr w14:paraId="2DBE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45C9D">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B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9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A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7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E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03A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1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D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2ABF">
            <w:pPr>
              <w:jc w:val="center"/>
              <w:rPr>
                <w:rFonts w:hint="eastAsia" w:ascii="微软雅黑" w:hAnsi="微软雅黑" w:eastAsia="微软雅黑" w:cs="微软雅黑"/>
                <w:i/>
                <w:iCs/>
                <w:color w:val="000000"/>
                <w:sz w:val="16"/>
                <w:szCs w:val="16"/>
                <w:u w:val="none"/>
              </w:rPr>
            </w:pPr>
          </w:p>
        </w:tc>
      </w:tr>
      <w:tr w14:paraId="503E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24B4">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7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8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0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5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1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1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295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6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A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8AF1">
            <w:pPr>
              <w:jc w:val="center"/>
              <w:rPr>
                <w:rFonts w:hint="eastAsia" w:ascii="微软雅黑" w:hAnsi="微软雅黑" w:eastAsia="微软雅黑" w:cs="微软雅黑"/>
                <w:i/>
                <w:iCs/>
                <w:color w:val="000000"/>
                <w:sz w:val="16"/>
                <w:szCs w:val="16"/>
                <w:u w:val="none"/>
              </w:rPr>
            </w:pPr>
          </w:p>
        </w:tc>
      </w:tr>
      <w:tr w14:paraId="3508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A40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7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EE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9E9">
            <w:pPr>
              <w:rPr>
                <w:rFonts w:hint="eastAsia" w:ascii="宋体" w:hAnsi="宋体" w:eastAsia="宋体" w:cs="宋体"/>
                <w:i w:val="0"/>
                <w:iCs w:val="0"/>
                <w:color w:val="000000"/>
                <w:sz w:val="18"/>
                <w:szCs w:val="18"/>
                <w:u w:val="none"/>
              </w:rPr>
            </w:pPr>
          </w:p>
        </w:tc>
      </w:tr>
      <w:tr w14:paraId="733D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5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5D4E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通过项目建设，优化基础设施，助推农村产业发展</w:t>
            </w:r>
          </w:p>
        </w:tc>
      </w:tr>
      <w:tr w14:paraId="5CBC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D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BA295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102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3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E813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D6A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32C4940E">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22875826">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0CB27FFC">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1D179E69">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F9C06D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35FCC577">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4132E9C7">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092F06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F5297FF">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A6CC3CD">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75A86F2">
            <w:pPr>
              <w:rPr>
                <w:rFonts w:hint="eastAsia" w:ascii="宋体" w:hAnsi="宋体" w:eastAsia="宋体" w:cs="宋体"/>
                <w:i w:val="0"/>
                <w:iCs w:val="0"/>
                <w:color w:val="000000"/>
                <w:sz w:val="18"/>
                <w:szCs w:val="18"/>
                <w:u w:val="none"/>
              </w:rPr>
            </w:pPr>
          </w:p>
        </w:tc>
      </w:tr>
      <w:tr w14:paraId="11EE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9316B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EDF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10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E25F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51052124T000009983186-农村聚居点污水治理设施建设项目</w:t>
            </w:r>
          </w:p>
        </w:tc>
      </w:tr>
      <w:tr w14:paraId="2FD4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E1C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30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7514A4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F5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5BEA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A42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56D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F1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CA77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83F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EC6C4">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A61A">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4FBD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提高农村人均环境治理力度</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C5E5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4CF4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60075">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6D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4DA8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加强三格式化粪池建设、农村聚居点污水处理管网改造</w:t>
            </w:r>
          </w:p>
        </w:tc>
      </w:tr>
      <w:tr w14:paraId="2EA2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B2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E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B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E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1B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5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7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D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75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6D09B">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5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2C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6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5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D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3B5E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38D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783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3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C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A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3C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1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D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8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3E233">
            <w:pPr>
              <w:rPr>
                <w:rFonts w:hint="eastAsia" w:ascii="黑体" w:hAnsi="黑体" w:eastAsia="黑体" w:cs="黑体"/>
                <w:i/>
                <w:iCs/>
                <w:color w:val="000000"/>
                <w:sz w:val="18"/>
                <w:szCs w:val="18"/>
                <w:u w:val="none"/>
              </w:rPr>
            </w:pPr>
          </w:p>
        </w:tc>
      </w:tr>
      <w:tr w14:paraId="4B73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7CEE5">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1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0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7B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4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A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A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1C02D">
            <w:pPr>
              <w:rPr>
                <w:rFonts w:hint="eastAsia" w:ascii="黑体" w:hAnsi="黑体" w:eastAsia="黑体" w:cs="黑体"/>
                <w:i/>
                <w:iCs/>
                <w:color w:val="000000"/>
                <w:sz w:val="18"/>
                <w:szCs w:val="18"/>
                <w:u w:val="none"/>
              </w:rPr>
            </w:pPr>
          </w:p>
        </w:tc>
      </w:tr>
      <w:tr w14:paraId="5120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2A57">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F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E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20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9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C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C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70D6">
            <w:pPr>
              <w:rPr>
                <w:rFonts w:hint="eastAsia" w:ascii="黑体" w:hAnsi="黑体" w:eastAsia="黑体" w:cs="黑体"/>
                <w:i/>
                <w:iCs/>
                <w:color w:val="000000"/>
                <w:sz w:val="18"/>
                <w:szCs w:val="18"/>
                <w:u w:val="none"/>
              </w:rPr>
            </w:pPr>
          </w:p>
        </w:tc>
      </w:tr>
      <w:tr w14:paraId="6799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A24E">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38F9">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F75D">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8FCA9">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0D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1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E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957F">
            <w:pPr>
              <w:rPr>
                <w:rFonts w:hint="eastAsia" w:ascii="黑体" w:hAnsi="黑体" w:eastAsia="黑体" w:cs="黑体"/>
                <w:i/>
                <w:iCs/>
                <w:color w:val="000000"/>
                <w:sz w:val="18"/>
                <w:szCs w:val="18"/>
                <w:u w:val="none"/>
              </w:rPr>
            </w:pPr>
          </w:p>
        </w:tc>
      </w:tr>
      <w:tr w14:paraId="58A8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C8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C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0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8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D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6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F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6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D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A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CD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ED63">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F4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F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建设粪池个数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8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5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CC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3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E786">
            <w:pPr>
              <w:jc w:val="center"/>
              <w:rPr>
                <w:rFonts w:hint="eastAsia" w:ascii="微软雅黑" w:hAnsi="微软雅黑" w:eastAsia="微软雅黑" w:cs="微软雅黑"/>
                <w:i/>
                <w:iCs/>
                <w:color w:val="000000"/>
                <w:sz w:val="16"/>
                <w:szCs w:val="16"/>
                <w:u w:val="none"/>
              </w:rPr>
            </w:pPr>
          </w:p>
        </w:tc>
      </w:tr>
      <w:tr w14:paraId="07E4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EBB79">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9254">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6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F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C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0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B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81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9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1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E381">
            <w:pPr>
              <w:jc w:val="center"/>
              <w:rPr>
                <w:rFonts w:hint="eastAsia" w:ascii="微软雅黑" w:hAnsi="微软雅黑" w:eastAsia="微软雅黑" w:cs="微软雅黑"/>
                <w:i/>
                <w:iCs/>
                <w:color w:val="000000"/>
                <w:sz w:val="16"/>
                <w:szCs w:val="16"/>
                <w:u w:val="none"/>
              </w:rPr>
            </w:pPr>
          </w:p>
        </w:tc>
      </w:tr>
      <w:tr w14:paraId="0374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A289">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472E">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2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B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D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B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99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E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0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752">
            <w:pPr>
              <w:jc w:val="center"/>
              <w:rPr>
                <w:rFonts w:hint="eastAsia" w:ascii="微软雅黑" w:hAnsi="微软雅黑" w:eastAsia="微软雅黑" w:cs="微软雅黑"/>
                <w:i/>
                <w:iCs/>
                <w:color w:val="000000"/>
                <w:sz w:val="16"/>
                <w:szCs w:val="16"/>
                <w:u w:val="none"/>
              </w:rPr>
            </w:pPr>
          </w:p>
        </w:tc>
      </w:tr>
      <w:tr w14:paraId="63B2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BD67">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8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9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7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提升群众生活质量有效性</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E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8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8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4DE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1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0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CC23">
            <w:pPr>
              <w:jc w:val="center"/>
              <w:rPr>
                <w:rFonts w:hint="eastAsia" w:ascii="微软雅黑" w:hAnsi="微软雅黑" w:eastAsia="微软雅黑" w:cs="微软雅黑"/>
                <w:i/>
                <w:iCs/>
                <w:color w:val="000000"/>
                <w:sz w:val="16"/>
                <w:szCs w:val="16"/>
                <w:u w:val="none"/>
              </w:rPr>
            </w:pPr>
          </w:p>
        </w:tc>
      </w:tr>
      <w:tr w14:paraId="1F1D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C716">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8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7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4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8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619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3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9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5E5">
            <w:pPr>
              <w:jc w:val="center"/>
              <w:rPr>
                <w:rFonts w:hint="eastAsia" w:ascii="微软雅黑" w:hAnsi="微软雅黑" w:eastAsia="微软雅黑" w:cs="微软雅黑"/>
                <w:i/>
                <w:iCs/>
                <w:color w:val="000000"/>
                <w:sz w:val="16"/>
                <w:szCs w:val="16"/>
                <w:u w:val="none"/>
              </w:rPr>
            </w:pPr>
          </w:p>
        </w:tc>
      </w:tr>
      <w:tr w14:paraId="0D98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BEA7A">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D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3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3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0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45E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7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0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DC65">
            <w:pPr>
              <w:jc w:val="center"/>
              <w:rPr>
                <w:rFonts w:hint="eastAsia" w:ascii="微软雅黑" w:hAnsi="微软雅黑" w:eastAsia="微软雅黑" w:cs="微软雅黑"/>
                <w:i/>
                <w:iCs/>
                <w:color w:val="000000"/>
                <w:sz w:val="16"/>
                <w:szCs w:val="16"/>
                <w:u w:val="none"/>
              </w:rPr>
            </w:pPr>
          </w:p>
        </w:tc>
      </w:tr>
      <w:tr w14:paraId="20DE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8C0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E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09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D215">
            <w:pPr>
              <w:rPr>
                <w:rFonts w:hint="eastAsia" w:ascii="宋体" w:hAnsi="宋体" w:eastAsia="宋体" w:cs="宋体"/>
                <w:i w:val="0"/>
                <w:iCs w:val="0"/>
                <w:color w:val="000000"/>
                <w:sz w:val="18"/>
                <w:szCs w:val="18"/>
                <w:u w:val="none"/>
              </w:rPr>
            </w:pPr>
          </w:p>
        </w:tc>
      </w:tr>
      <w:tr w14:paraId="62EB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6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12101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我镇整合资源，落实主体，结合农村实际，通过此次工程，在一定程度上提升了环境质量，减少了污水对农业生产、生活的影响，提高了村民的生活质量，有效加强了基层农污治理工作薄弱环节，不断构建农污治理闭环，逐步推动农污治理体系现代化。</w:t>
            </w:r>
          </w:p>
        </w:tc>
      </w:tr>
      <w:tr w14:paraId="583D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2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0B6E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E1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1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76F45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1E8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tcBorders>
              <w:top w:val="nil"/>
              <w:left w:val="nil"/>
              <w:bottom w:val="nil"/>
              <w:right w:val="nil"/>
            </w:tcBorders>
            <w:shd w:val="clear" w:color="auto" w:fill="auto"/>
            <w:vAlign w:val="center"/>
          </w:tcPr>
          <w:p w14:paraId="3BF808EE">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auto"/>
            <w:vAlign w:val="center"/>
          </w:tcPr>
          <w:p w14:paraId="647AF241">
            <w:pPr>
              <w:rPr>
                <w:rFonts w:hint="eastAsia" w:ascii="宋体" w:hAnsi="宋体" w:eastAsia="宋体" w:cs="宋体"/>
                <w:i w:val="0"/>
                <w:iCs w:val="0"/>
                <w:color w:val="000000"/>
                <w:sz w:val="18"/>
                <w:szCs w:val="18"/>
                <w:u w:val="none"/>
              </w:rPr>
            </w:pPr>
          </w:p>
        </w:tc>
        <w:tc>
          <w:tcPr>
            <w:tcW w:w="1148" w:type="dxa"/>
            <w:tcBorders>
              <w:top w:val="nil"/>
              <w:left w:val="nil"/>
              <w:bottom w:val="nil"/>
              <w:right w:val="nil"/>
            </w:tcBorders>
            <w:shd w:val="clear" w:color="auto" w:fill="auto"/>
            <w:vAlign w:val="center"/>
          </w:tcPr>
          <w:p w14:paraId="08FBBDF3">
            <w:pPr>
              <w:jc w:val="center"/>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auto"/>
            <w:vAlign w:val="center"/>
          </w:tcPr>
          <w:p w14:paraId="0D2C4D33">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0D2D3C3">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575D5EE">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9F13DE7">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D932904">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CD73C5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DDE0E89">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1B016C66">
            <w:pPr>
              <w:rPr>
                <w:rFonts w:hint="eastAsia" w:ascii="宋体" w:hAnsi="宋体" w:eastAsia="宋体" w:cs="宋体"/>
                <w:i w:val="0"/>
                <w:iCs w:val="0"/>
                <w:color w:val="000000"/>
                <w:sz w:val="18"/>
                <w:szCs w:val="18"/>
                <w:u w:val="none"/>
              </w:rPr>
            </w:pPr>
          </w:p>
        </w:tc>
      </w:tr>
      <w:tr w14:paraId="4C32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52827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557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AEA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4BF4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51052124T000009983492-泸县毗卢镇农村道路基础设施项目</w:t>
            </w:r>
          </w:p>
        </w:tc>
      </w:tr>
      <w:tr w14:paraId="3541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740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2A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毗卢镇</w:t>
            </w:r>
          </w:p>
        </w:tc>
        <w:tc>
          <w:tcPr>
            <w:tcW w:w="846" w:type="dxa"/>
            <w:tcBorders>
              <w:top w:val="nil"/>
              <w:left w:val="nil"/>
              <w:bottom w:val="nil"/>
              <w:right w:val="nil"/>
            </w:tcBorders>
            <w:shd w:val="clear" w:color="auto" w:fill="auto"/>
            <w:vAlign w:val="center"/>
          </w:tcPr>
          <w:p w14:paraId="092CF0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7F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泸县毗卢镇人民政府</w:t>
            </w:r>
          </w:p>
        </w:tc>
      </w:tr>
      <w:tr w14:paraId="4BB9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668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24C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EF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6EEC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86A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DB1E5">
            <w:pP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473C8">
            <w:pPr>
              <w:rPr>
                <w:rFonts w:hint="eastAsia" w:ascii="宋体" w:hAnsi="宋体" w:eastAsia="宋体" w:cs="宋体"/>
                <w:i w:val="0"/>
                <w:iCs w:val="0"/>
                <w:color w:val="000000"/>
                <w:sz w:val="18"/>
                <w:szCs w:val="18"/>
                <w:u w:val="none"/>
              </w:rPr>
            </w:pPr>
          </w:p>
        </w:tc>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3B3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3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5DCD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6901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C3AEB">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17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7EA1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加强隐患路段建设</w:t>
            </w:r>
          </w:p>
        </w:tc>
      </w:tr>
      <w:tr w14:paraId="61B1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22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0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C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B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FB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8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6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4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A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CE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0A8D">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E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04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0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B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B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69B6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AD6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94DBF">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3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0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D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37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C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1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27FAC">
            <w:pPr>
              <w:rPr>
                <w:rFonts w:hint="eastAsia" w:ascii="黑体" w:hAnsi="黑体" w:eastAsia="黑体" w:cs="黑体"/>
                <w:i/>
                <w:iCs/>
                <w:color w:val="000000"/>
                <w:sz w:val="18"/>
                <w:szCs w:val="18"/>
                <w:u w:val="none"/>
              </w:rPr>
            </w:pPr>
          </w:p>
        </w:tc>
      </w:tr>
      <w:tr w14:paraId="23C8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0465F">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8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3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A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E2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0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F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0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577E">
            <w:pPr>
              <w:rPr>
                <w:rFonts w:hint="eastAsia" w:ascii="黑体" w:hAnsi="黑体" w:eastAsia="黑体" w:cs="黑体"/>
                <w:i/>
                <w:iCs/>
                <w:color w:val="000000"/>
                <w:sz w:val="18"/>
                <w:szCs w:val="18"/>
                <w:u w:val="none"/>
              </w:rPr>
            </w:pPr>
          </w:p>
        </w:tc>
      </w:tr>
      <w:tr w14:paraId="1DF9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BC90">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7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5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2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30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B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D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95C99">
            <w:pPr>
              <w:rPr>
                <w:rFonts w:hint="eastAsia" w:ascii="黑体" w:hAnsi="黑体" w:eastAsia="黑体" w:cs="黑体"/>
                <w:i/>
                <w:iCs/>
                <w:color w:val="000000"/>
                <w:sz w:val="18"/>
                <w:szCs w:val="18"/>
                <w:u w:val="none"/>
              </w:rPr>
            </w:pPr>
          </w:p>
        </w:tc>
      </w:tr>
      <w:tr w14:paraId="2656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1DD22">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8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D814">
            <w:pPr>
              <w:jc w:val="center"/>
              <w:rPr>
                <w:rFonts w:hint="eastAsia" w:ascii="微软雅黑" w:hAnsi="微软雅黑" w:eastAsia="微软雅黑" w:cs="微软雅黑"/>
                <w:i/>
                <w:iCs/>
                <w:color w:val="000000"/>
                <w:sz w:val="16"/>
                <w:szCs w:val="16"/>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2D3B">
            <w:pPr>
              <w:jc w:val="center"/>
              <w:rPr>
                <w:rFonts w:hint="eastAsia" w:ascii="微软雅黑" w:hAnsi="微软雅黑" w:eastAsia="微软雅黑" w:cs="微软雅黑"/>
                <w:i/>
                <w:iCs/>
                <w:color w:val="000000"/>
                <w:sz w:val="16"/>
                <w:szCs w:val="16"/>
                <w:u w:val="none"/>
              </w:rPr>
            </w:pP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1A7BA">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43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5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E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8926">
            <w:pPr>
              <w:rPr>
                <w:rFonts w:hint="eastAsia" w:ascii="黑体" w:hAnsi="黑体" w:eastAsia="黑体" w:cs="黑体"/>
                <w:i/>
                <w:iCs/>
                <w:color w:val="000000"/>
                <w:sz w:val="18"/>
                <w:szCs w:val="18"/>
                <w:u w:val="none"/>
              </w:rPr>
            </w:pPr>
          </w:p>
        </w:tc>
      </w:tr>
      <w:tr w14:paraId="2F50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6E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9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9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7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3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3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9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C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7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E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8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AFE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46CA">
            <w:pPr>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81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55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3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建设村社区</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C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2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B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D9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E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0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E897">
            <w:pPr>
              <w:jc w:val="center"/>
              <w:rPr>
                <w:rFonts w:hint="eastAsia" w:ascii="微软雅黑" w:hAnsi="微软雅黑" w:eastAsia="微软雅黑" w:cs="微软雅黑"/>
                <w:i/>
                <w:iCs/>
                <w:color w:val="000000"/>
                <w:sz w:val="16"/>
                <w:szCs w:val="16"/>
                <w:u w:val="none"/>
              </w:rPr>
            </w:pPr>
          </w:p>
        </w:tc>
      </w:tr>
      <w:tr w14:paraId="03E7C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1C924">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7E7E6">
            <w:pPr>
              <w:jc w:val="center"/>
              <w:rPr>
                <w:rFonts w:hint="eastAsia" w:ascii="宋体" w:hAnsi="宋体" w:eastAsia="宋体" w:cs="宋体"/>
                <w:i w:val="0"/>
                <w:iCs w:val="0"/>
                <w:color w:val="000000"/>
                <w:sz w:val="18"/>
                <w:szCs w:val="1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1B2C">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1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护栏个数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0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C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E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B23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C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0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AD0E">
            <w:pPr>
              <w:jc w:val="center"/>
              <w:rPr>
                <w:rFonts w:hint="eastAsia" w:ascii="微软雅黑" w:hAnsi="微软雅黑" w:eastAsia="微软雅黑" w:cs="微软雅黑"/>
                <w:i/>
                <w:iCs/>
                <w:color w:val="000000"/>
                <w:sz w:val="16"/>
                <w:szCs w:val="16"/>
                <w:u w:val="none"/>
              </w:rPr>
            </w:pPr>
          </w:p>
        </w:tc>
      </w:tr>
      <w:tr w14:paraId="0766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C965D">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C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1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0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群众生活质量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D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B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14AE">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41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有效提升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0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D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4E6">
            <w:pPr>
              <w:jc w:val="center"/>
              <w:rPr>
                <w:rFonts w:hint="eastAsia" w:ascii="微软雅黑" w:hAnsi="微软雅黑" w:eastAsia="微软雅黑" w:cs="微软雅黑"/>
                <w:i/>
                <w:iCs/>
                <w:color w:val="000000"/>
                <w:sz w:val="16"/>
                <w:szCs w:val="16"/>
                <w:u w:val="none"/>
              </w:rPr>
            </w:pPr>
          </w:p>
        </w:tc>
      </w:tr>
      <w:tr w14:paraId="75BB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3735">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3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8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9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群众对出行满意度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8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1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0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A1D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7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9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7CE0">
            <w:pPr>
              <w:jc w:val="center"/>
              <w:rPr>
                <w:rFonts w:hint="eastAsia" w:ascii="微软雅黑" w:hAnsi="微软雅黑" w:eastAsia="微软雅黑" w:cs="微软雅黑"/>
                <w:i/>
                <w:iCs/>
                <w:color w:val="000000"/>
                <w:sz w:val="16"/>
                <w:szCs w:val="16"/>
                <w:u w:val="none"/>
              </w:rPr>
            </w:pPr>
          </w:p>
        </w:tc>
      </w:tr>
      <w:tr w14:paraId="7CFA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065E9">
            <w:pPr>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0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F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1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对经济发展的影响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1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7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891F">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97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有效提升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E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9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0DAA">
            <w:pPr>
              <w:jc w:val="center"/>
              <w:rPr>
                <w:rFonts w:hint="eastAsia" w:ascii="微软雅黑" w:hAnsi="微软雅黑" w:eastAsia="微软雅黑" w:cs="微软雅黑"/>
                <w:i/>
                <w:iCs/>
                <w:color w:val="000000"/>
                <w:sz w:val="16"/>
                <w:szCs w:val="16"/>
                <w:u w:val="none"/>
              </w:rPr>
            </w:pPr>
          </w:p>
        </w:tc>
      </w:tr>
      <w:tr w14:paraId="19B5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8AC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5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A6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421F">
            <w:pPr>
              <w:rPr>
                <w:rFonts w:hint="eastAsia" w:ascii="宋体" w:hAnsi="宋体" w:eastAsia="宋体" w:cs="宋体"/>
                <w:i w:val="0"/>
                <w:iCs w:val="0"/>
                <w:color w:val="000000"/>
                <w:sz w:val="18"/>
                <w:szCs w:val="18"/>
                <w:u w:val="none"/>
              </w:rPr>
            </w:pPr>
          </w:p>
        </w:tc>
      </w:tr>
      <w:tr w14:paraId="1340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D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3EF2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本次项目的实施解决了农村道路安全隐患，方便群众出行</w:t>
            </w:r>
          </w:p>
        </w:tc>
      </w:tr>
      <w:tr w14:paraId="3425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6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466D5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940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9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E788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bookmarkEnd w:id="102"/>
      <w:bookmarkEnd w:id="75"/>
    </w:tbl>
    <w:p w14:paraId="79B629F6">
      <w:pPr>
        <w:pStyle w:val="5"/>
        <w:spacing w:before="93"/>
        <w:rPr>
          <w:rFonts w:hAnsi="Calibri" w:cs="仿宋"/>
          <w:sz w:val="32"/>
          <w:szCs w:val="32"/>
        </w:rPr>
      </w:pPr>
    </w:p>
    <w:p w14:paraId="1A892B61">
      <w:pPr>
        <w:pStyle w:val="5"/>
        <w:spacing w:before="93"/>
        <w:rPr>
          <w:rFonts w:hAnsi="Calibri" w:cs="仿宋"/>
          <w:sz w:val="32"/>
          <w:szCs w:val="32"/>
        </w:rPr>
      </w:pPr>
    </w:p>
    <w:bookmarkEnd w:id="71"/>
    <w:bookmarkEnd w:id="74"/>
    <w:p w14:paraId="788E1F6E">
      <w:pPr>
        <w:spacing w:line="600" w:lineRule="exact"/>
        <w:jc w:val="both"/>
        <w:outlineLvl w:val="0"/>
        <w:rPr>
          <w:rStyle w:val="27"/>
          <w:rFonts w:hint="eastAsia" w:ascii="黑体" w:hAnsi="黑体" w:eastAsia="黑体"/>
          <w:b w:val="0"/>
        </w:rPr>
      </w:pPr>
      <w:bookmarkStart w:id="76" w:name="_Toc15396619"/>
    </w:p>
    <w:p w14:paraId="79FAAE12">
      <w:pPr>
        <w:spacing w:line="600" w:lineRule="exact"/>
        <w:jc w:val="center"/>
        <w:outlineLvl w:val="0"/>
        <w:rPr>
          <w:rStyle w:val="27"/>
          <w:rFonts w:hint="eastAsia" w:ascii="黑体" w:hAnsi="黑体" w:eastAsia="黑体"/>
          <w:b w:val="0"/>
        </w:rPr>
      </w:pPr>
    </w:p>
    <w:p w14:paraId="119F6BD0">
      <w:pPr>
        <w:pStyle w:val="3"/>
        <w:jc w:val="center"/>
        <w:rPr>
          <w:rFonts w:hint="eastAsia" w:ascii="仿宋" w:hAnsi="仿宋" w:eastAsia="仿宋"/>
          <w:b w:val="0"/>
        </w:rPr>
      </w:pPr>
      <w:bookmarkStart w:id="77" w:name="_Toc6252"/>
      <w:r>
        <w:rPr>
          <w:rFonts w:hint="eastAsia" w:ascii="黑体" w:hAnsi="黑体" w:eastAsia="黑体"/>
          <w:color w:val="auto"/>
          <w:sz w:val="44"/>
          <w:szCs w:val="44"/>
          <w:highlight w:val="none"/>
        </w:rPr>
        <w:t>第</w:t>
      </w:r>
      <w:r>
        <w:rPr>
          <w:rStyle w:val="33"/>
          <w:rFonts w:hint="eastAsia" w:ascii="黑体" w:hAnsi="黑体" w:eastAsia="黑体"/>
          <w:b w:val="0"/>
          <w:bCs/>
          <w:color w:val="auto"/>
          <w:highlight w:val="none"/>
        </w:rPr>
        <w:t>五部分 附表</w:t>
      </w:r>
    </w:p>
    <w:p w14:paraId="1E7C5C13">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76"/>
      <w:bookmarkEnd w:id="77"/>
    </w:p>
    <w:p w14:paraId="02466E16">
      <w:pPr>
        <w:pStyle w:val="3"/>
        <w:rPr>
          <w:rFonts w:ascii="仿宋" w:hAnsi="仿宋" w:eastAsia="仿宋"/>
        </w:rPr>
      </w:pPr>
      <w:bookmarkStart w:id="78" w:name="_Toc18607"/>
      <w:bookmarkStart w:id="79" w:name="_Toc15396620"/>
      <w:r>
        <w:rPr>
          <w:rFonts w:hint="eastAsia" w:ascii="仿宋" w:hAnsi="仿宋" w:eastAsia="仿宋"/>
          <w:b w:val="0"/>
        </w:rPr>
        <w:t>二、收</w:t>
      </w:r>
      <w:r>
        <w:rPr>
          <w:rStyle w:val="28"/>
          <w:rFonts w:hint="eastAsia" w:ascii="仿宋" w:hAnsi="仿宋" w:eastAsia="仿宋"/>
          <w:b w:val="0"/>
          <w:bCs w:val="0"/>
        </w:rPr>
        <w:t>入决算表</w:t>
      </w:r>
      <w:bookmarkEnd w:id="78"/>
      <w:bookmarkEnd w:id="79"/>
    </w:p>
    <w:p w14:paraId="78EDA45C">
      <w:pPr>
        <w:pStyle w:val="3"/>
        <w:rPr>
          <w:rFonts w:ascii="仿宋" w:hAnsi="仿宋" w:eastAsia="仿宋"/>
        </w:rPr>
      </w:pPr>
      <w:bookmarkStart w:id="80" w:name="_Toc27584"/>
      <w:bookmarkStart w:id="81"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0"/>
      <w:bookmarkEnd w:id="81"/>
    </w:p>
    <w:p w14:paraId="2B06E22C">
      <w:pPr>
        <w:pStyle w:val="3"/>
        <w:rPr>
          <w:rFonts w:ascii="仿宋" w:hAnsi="仿宋" w:eastAsia="仿宋"/>
          <w:b w:val="0"/>
        </w:rPr>
      </w:pPr>
      <w:bookmarkStart w:id="82" w:name="_Toc24238"/>
      <w:bookmarkStart w:id="83"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2"/>
      <w:bookmarkEnd w:id="83"/>
    </w:p>
    <w:p w14:paraId="183DC3F0">
      <w:pPr>
        <w:pStyle w:val="3"/>
        <w:rPr>
          <w:rStyle w:val="28"/>
          <w:rFonts w:ascii="仿宋" w:hAnsi="仿宋" w:eastAsia="仿宋"/>
          <w:b w:val="0"/>
          <w:bCs w:val="0"/>
        </w:rPr>
      </w:pPr>
      <w:bookmarkStart w:id="84" w:name="_Toc15396623"/>
      <w:bookmarkStart w:id="85" w:name="_Toc19056"/>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4"/>
      <w:bookmarkEnd w:id="85"/>
      <w:bookmarkStart w:id="86" w:name="_Toc15396624"/>
    </w:p>
    <w:p w14:paraId="40CE2071">
      <w:pPr>
        <w:pStyle w:val="3"/>
        <w:rPr>
          <w:rFonts w:ascii="仿宋" w:hAnsi="仿宋" w:eastAsia="仿宋"/>
        </w:rPr>
      </w:pPr>
      <w:bookmarkStart w:id="87" w:name="_Toc28343"/>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6"/>
      <w:bookmarkEnd w:id="87"/>
    </w:p>
    <w:p w14:paraId="5EB91142">
      <w:pPr>
        <w:pStyle w:val="3"/>
        <w:rPr>
          <w:rFonts w:ascii="仿宋" w:hAnsi="仿宋" w:eastAsia="仿宋"/>
        </w:rPr>
      </w:pPr>
      <w:bookmarkStart w:id="88" w:name="_Toc15396625"/>
      <w:bookmarkStart w:id="89" w:name="_Toc27564"/>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8"/>
      <w:bookmarkEnd w:id="89"/>
    </w:p>
    <w:p w14:paraId="6AEF4C7A">
      <w:pPr>
        <w:pStyle w:val="3"/>
        <w:rPr>
          <w:rFonts w:ascii="仿宋" w:hAnsi="仿宋" w:eastAsia="仿宋"/>
        </w:rPr>
      </w:pPr>
      <w:bookmarkStart w:id="90" w:name="_Toc15396626"/>
      <w:bookmarkStart w:id="91" w:name="_Toc5668"/>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0"/>
      <w:bookmarkEnd w:id="91"/>
    </w:p>
    <w:p w14:paraId="0B271538">
      <w:pPr>
        <w:pStyle w:val="3"/>
        <w:rPr>
          <w:rFonts w:ascii="仿宋" w:hAnsi="仿宋" w:eastAsia="仿宋"/>
        </w:rPr>
      </w:pPr>
      <w:bookmarkStart w:id="92" w:name="_Toc22181"/>
      <w:bookmarkStart w:id="93"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2"/>
      <w:bookmarkEnd w:id="93"/>
    </w:p>
    <w:p w14:paraId="4FB6B32E">
      <w:pPr>
        <w:pStyle w:val="3"/>
        <w:rPr>
          <w:rFonts w:ascii="仿宋" w:hAnsi="仿宋" w:eastAsia="仿宋"/>
        </w:rPr>
      </w:pPr>
      <w:bookmarkStart w:id="94" w:name="_Toc15396628"/>
      <w:bookmarkStart w:id="95" w:name="_Toc10651"/>
      <w:r>
        <w:rPr>
          <w:rStyle w:val="28"/>
          <w:rFonts w:hint="eastAsia" w:ascii="仿宋" w:hAnsi="仿宋" w:eastAsia="仿宋"/>
          <w:b w:val="0"/>
          <w:bCs w:val="0"/>
        </w:rPr>
        <w:t>十、</w:t>
      </w:r>
      <w:bookmarkEnd w:id="94"/>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5"/>
    </w:p>
    <w:p w14:paraId="0ADADAFC">
      <w:pPr>
        <w:pStyle w:val="3"/>
        <w:rPr>
          <w:rFonts w:ascii="仿宋" w:hAnsi="仿宋" w:eastAsia="仿宋"/>
        </w:rPr>
      </w:pPr>
      <w:bookmarkStart w:id="96" w:name="_Toc15396629"/>
      <w:bookmarkStart w:id="97" w:name="_Toc14010"/>
      <w:r>
        <w:rPr>
          <w:rStyle w:val="28"/>
          <w:rFonts w:hint="eastAsia" w:ascii="仿宋" w:hAnsi="仿宋" w:eastAsia="仿宋"/>
          <w:b w:val="0"/>
          <w:bCs w:val="0"/>
        </w:rPr>
        <w:t>十一、</w:t>
      </w:r>
      <w:bookmarkEnd w:id="96"/>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7"/>
    </w:p>
    <w:p w14:paraId="5E496CD5">
      <w:pPr>
        <w:pStyle w:val="3"/>
        <w:rPr>
          <w:rFonts w:ascii="仿宋" w:hAnsi="仿宋" w:eastAsia="仿宋"/>
        </w:rPr>
      </w:pPr>
      <w:bookmarkStart w:id="98" w:name="_Toc15396630"/>
      <w:bookmarkStart w:id="99" w:name="_Toc29449"/>
      <w:r>
        <w:rPr>
          <w:rStyle w:val="28"/>
          <w:rFonts w:hint="eastAsia" w:ascii="仿宋" w:hAnsi="仿宋" w:eastAsia="仿宋"/>
          <w:b w:val="0"/>
          <w:bCs w:val="0"/>
        </w:rPr>
        <w:t>十二、</w:t>
      </w:r>
      <w:bookmarkEnd w:id="98"/>
      <w:r>
        <w:rPr>
          <w:rStyle w:val="28"/>
          <w:rFonts w:hint="eastAsia" w:ascii="仿宋" w:hAnsi="仿宋" w:eastAsia="仿宋"/>
          <w:b w:val="0"/>
          <w:bCs w:val="0"/>
        </w:rPr>
        <w:t>国有资本经营预算财政拨款支出决算表</w:t>
      </w:r>
      <w:bookmarkEnd w:id="99"/>
    </w:p>
    <w:p w14:paraId="4D9904FB">
      <w:pPr>
        <w:pStyle w:val="3"/>
        <w:rPr>
          <w:rFonts w:eastAsia="仿宋"/>
        </w:rPr>
      </w:pPr>
      <w:bookmarkStart w:id="100" w:name="_Toc15396631"/>
      <w:bookmarkStart w:id="101" w:name="_Toc29194"/>
      <w:r>
        <w:rPr>
          <w:rStyle w:val="28"/>
          <w:rFonts w:hint="eastAsia" w:ascii="仿宋" w:hAnsi="仿宋" w:eastAsia="仿宋"/>
          <w:b w:val="0"/>
          <w:bCs w:val="0"/>
        </w:rPr>
        <w:t>十三、</w:t>
      </w:r>
      <w:bookmarkEnd w:id="100"/>
      <w:r>
        <w:rPr>
          <w:rStyle w:val="28"/>
          <w:rFonts w:hint="eastAsia" w:ascii="仿宋" w:hAnsi="仿宋" w:eastAsia="仿宋"/>
          <w:b w:val="0"/>
          <w:bCs w:val="0"/>
        </w:rPr>
        <w:t>财政拨款“三公”经费支出决算表</w:t>
      </w:r>
      <w:bookmarkEnd w:id="10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DDE246F">
        <w:pPr>
          <w:pStyle w:val="9"/>
          <w:jc w:val="center"/>
        </w:pPr>
        <w:r>
          <w:fldChar w:fldCharType="begin"/>
        </w:r>
        <w:r>
          <w:instrText xml:space="preserve">PAGE   \* MERGEFORMAT</w:instrText>
        </w:r>
        <w:r>
          <w:fldChar w:fldCharType="separate"/>
        </w:r>
        <w:r>
          <w:rPr>
            <w:lang w:val="zh-CN"/>
          </w:rPr>
          <w:t>15</w:t>
        </w:r>
        <w:r>
          <w:fldChar w:fldCharType="end"/>
        </w:r>
      </w:p>
    </w:sdtContent>
  </w:sdt>
  <w:p w14:paraId="4724B7E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788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2ZhZWRhNGM1ZWNkM2IyOTE2ZDJkMzdiMmRmYT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9092B"/>
    <w:rsid w:val="015B371E"/>
    <w:rsid w:val="016823AF"/>
    <w:rsid w:val="03DC2831"/>
    <w:rsid w:val="061E04DD"/>
    <w:rsid w:val="069B1336"/>
    <w:rsid w:val="081B5E94"/>
    <w:rsid w:val="0A2032A3"/>
    <w:rsid w:val="0AEF6F5A"/>
    <w:rsid w:val="0B4D1A46"/>
    <w:rsid w:val="0B8A37D8"/>
    <w:rsid w:val="0D1F778C"/>
    <w:rsid w:val="0F4E3104"/>
    <w:rsid w:val="0F5FFB2F"/>
    <w:rsid w:val="0FFFCF60"/>
    <w:rsid w:val="10C055FF"/>
    <w:rsid w:val="118107EC"/>
    <w:rsid w:val="11DD6519"/>
    <w:rsid w:val="12243D7B"/>
    <w:rsid w:val="12612E3B"/>
    <w:rsid w:val="12CD73C6"/>
    <w:rsid w:val="131127D9"/>
    <w:rsid w:val="13F137BB"/>
    <w:rsid w:val="15D942D4"/>
    <w:rsid w:val="16BB723D"/>
    <w:rsid w:val="17B42DE1"/>
    <w:rsid w:val="18015F3F"/>
    <w:rsid w:val="18544907"/>
    <w:rsid w:val="1B4776B4"/>
    <w:rsid w:val="1BE8440E"/>
    <w:rsid w:val="1D155CEE"/>
    <w:rsid w:val="1FDBBF84"/>
    <w:rsid w:val="20F57F95"/>
    <w:rsid w:val="23230B14"/>
    <w:rsid w:val="23645B24"/>
    <w:rsid w:val="237678A8"/>
    <w:rsid w:val="240371BF"/>
    <w:rsid w:val="25711CC6"/>
    <w:rsid w:val="25C741E6"/>
    <w:rsid w:val="26BC535F"/>
    <w:rsid w:val="276F80C0"/>
    <w:rsid w:val="27842671"/>
    <w:rsid w:val="27A044DA"/>
    <w:rsid w:val="28DF040E"/>
    <w:rsid w:val="29FD04D3"/>
    <w:rsid w:val="2ABE7A3E"/>
    <w:rsid w:val="2AFF09B6"/>
    <w:rsid w:val="2B020CA2"/>
    <w:rsid w:val="2CA234A8"/>
    <w:rsid w:val="2EFA178C"/>
    <w:rsid w:val="2EFDF86C"/>
    <w:rsid w:val="2F2D2691"/>
    <w:rsid w:val="2F9D17E1"/>
    <w:rsid w:val="30B46D73"/>
    <w:rsid w:val="319F7F4E"/>
    <w:rsid w:val="31B01F0C"/>
    <w:rsid w:val="33BD1AAB"/>
    <w:rsid w:val="33E8058A"/>
    <w:rsid w:val="346D140A"/>
    <w:rsid w:val="34A06417"/>
    <w:rsid w:val="356A28F1"/>
    <w:rsid w:val="357C035A"/>
    <w:rsid w:val="368E000D"/>
    <w:rsid w:val="37710A72"/>
    <w:rsid w:val="37B14FD7"/>
    <w:rsid w:val="383D272C"/>
    <w:rsid w:val="39AE70AB"/>
    <w:rsid w:val="3A4DCE41"/>
    <w:rsid w:val="3AD841A2"/>
    <w:rsid w:val="3AE169A0"/>
    <w:rsid w:val="3AEB1EE3"/>
    <w:rsid w:val="3B3A0E5F"/>
    <w:rsid w:val="3BCB56FA"/>
    <w:rsid w:val="3C0C0783"/>
    <w:rsid w:val="3E9E78AA"/>
    <w:rsid w:val="3EE7C2F4"/>
    <w:rsid w:val="3F371B56"/>
    <w:rsid w:val="3F792ED8"/>
    <w:rsid w:val="3F9F3A96"/>
    <w:rsid w:val="3FECA4B2"/>
    <w:rsid w:val="3FF58C48"/>
    <w:rsid w:val="41211C41"/>
    <w:rsid w:val="4132224E"/>
    <w:rsid w:val="42FF6694"/>
    <w:rsid w:val="431C5266"/>
    <w:rsid w:val="43CB5961"/>
    <w:rsid w:val="46E430A1"/>
    <w:rsid w:val="47E50AE1"/>
    <w:rsid w:val="48BF60AB"/>
    <w:rsid w:val="493C27E9"/>
    <w:rsid w:val="496F39ED"/>
    <w:rsid w:val="49FF41D3"/>
    <w:rsid w:val="4BE068DB"/>
    <w:rsid w:val="4BF6002B"/>
    <w:rsid w:val="4BFFC6BE"/>
    <w:rsid w:val="4D080B03"/>
    <w:rsid w:val="4E6E5C4D"/>
    <w:rsid w:val="4ECE2238"/>
    <w:rsid w:val="4FA90E18"/>
    <w:rsid w:val="51DB4B86"/>
    <w:rsid w:val="51E2214F"/>
    <w:rsid w:val="51F64DB0"/>
    <w:rsid w:val="54617393"/>
    <w:rsid w:val="5532583C"/>
    <w:rsid w:val="55333C3E"/>
    <w:rsid w:val="55ED3B5C"/>
    <w:rsid w:val="58716B86"/>
    <w:rsid w:val="5A2A21F6"/>
    <w:rsid w:val="5A705BB9"/>
    <w:rsid w:val="5C8E617B"/>
    <w:rsid w:val="5F67802D"/>
    <w:rsid w:val="5F7DC4F2"/>
    <w:rsid w:val="5FB36814"/>
    <w:rsid w:val="5FBB8E56"/>
    <w:rsid w:val="5FD24F4B"/>
    <w:rsid w:val="5FFB5535"/>
    <w:rsid w:val="63CA720B"/>
    <w:rsid w:val="63FC4DFC"/>
    <w:rsid w:val="64CA39A1"/>
    <w:rsid w:val="657B4E2C"/>
    <w:rsid w:val="65805E8A"/>
    <w:rsid w:val="66BB2590"/>
    <w:rsid w:val="68710F16"/>
    <w:rsid w:val="69630ADE"/>
    <w:rsid w:val="69BD5F13"/>
    <w:rsid w:val="69FB0B4B"/>
    <w:rsid w:val="6BFFE1FB"/>
    <w:rsid w:val="6C4A05C8"/>
    <w:rsid w:val="6D3B1A89"/>
    <w:rsid w:val="6DB7D8A3"/>
    <w:rsid w:val="6E411D05"/>
    <w:rsid w:val="6EC78701"/>
    <w:rsid w:val="6F7454CF"/>
    <w:rsid w:val="6F7A5481"/>
    <w:rsid w:val="6FFE07A9"/>
    <w:rsid w:val="710F6A7D"/>
    <w:rsid w:val="71BF4EC2"/>
    <w:rsid w:val="72734D90"/>
    <w:rsid w:val="73E75B71"/>
    <w:rsid w:val="7412278C"/>
    <w:rsid w:val="75DDCDA9"/>
    <w:rsid w:val="75FF44B1"/>
    <w:rsid w:val="76E0429C"/>
    <w:rsid w:val="77670518"/>
    <w:rsid w:val="777FA627"/>
    <w:rsid w:val="77DF1B5F"/>
    <w:rsid w:val="77EF2D9D"/>
    <w:rsid w:val="79E7B28D"/>
    <w:rsid w:val="7ACFF0C2"/>
    <w:rsid w:val="7AFB9108"/>
    <w:rsid w:val="7BA36B6E"/>
    <w:rsid w:val="7BD5340C"/>
    <w:rsid w:val="7BFB19D2"/>
    <w:rsid w:val="7BFD1750"/>
    <w:rsid w:val="7BFDAA1B"/>
    <w:rsid w:val="7C0B5CB2"/>
    <w:rsid w:val="7CDF9A82"/>
    <w:rsid w:val="7CFFA1BD"/>
    <w:rsid w:val="7D051F63"/>
    <w:rsid w:val="7D2E3F7A"/>
    <w:rsid w:val="7D6C715F"/>
    <w:rsid w:val="7DED9490"/>
    <w:rsid w:val="7DFF4872"/>
    <w:rsid w:val="7E7487E6"/>
    <w:rsid w:val="7E7C2A54"/>
    <w:rsid w:val="7EB9730D"/>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1 Char"/>
    <w:basedOn w:val="15"/>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19;&#27835;&#28070;\&#24180;&#24230;&#22635;&#21046;&#31995;&#32479;&#36164;&#26009;\&#39044;&#20915;&#31639;\&#39044;&#20915;&#31639;\2023&#24180;&#20915;&#31639;&#20844;&#24320;&#19978;&#25253;&#36164;&#26009;\&#25968;&#25454;&#36164;&#26009;--&#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19;&#27835;&#28070;\&#24180;&#24230;&#22635;&#21046;&#31995;&#32479;&#36164;&#26009;\&#39044;&#20915;&#31639;\&#39044;&#20915;&#31639;\2023&#24180;&#20915;&#31639;&#20844;&#24320;&#19978;&#25253;&#36164;&#26009;\&#25968;&#25454;&#36164;&#26009;--&#24037;&#20316;&#31807;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收、支决算总计变动情况图</a:t>
            </a:r>
            <a:endParaRPr lang="zh-CN" sz="1400" b="0" i="0" u="none" strike="noStrike" kern="1200" spc="0" baseline="0">
              <a:solidFill>
                <a:schemeClr val="tx1">
                  <a:lumMod val="65000"/>
                  <a:lumOff val="35000"/>
                </a:schemeClr>
              </a:solidFill>
              <a:latin typeface="+mn-lt"/>
              <a:ea typeface="+mn-ea"/>
              <a:cs typeface="+mn-cs"/>
            </a:endParaRPr>
          </a:p>
        </c:rich>
      </c:tx>
      <c:layout>
        <c:manualLayout>
          <c:xMode val="edge"/>
          <c:yMode val="edge"/>
          <c:x val="0.189932513588789"/>
          <c:y val="0.0507260620304101"/>
        </c:manualLayout>
      </c:layout>
      <c:overlay val="0"/>
    </c:title>
    <c:autoTitleDeleted val="0"/>
    <c:plotArea>
      <c:layout/>
      <c:barChart>
        <c:barDir val="col"/>
        <c:grouping val="clustered"/>
        <c:varyColors val="0"/>
        <c:ser>
          <c:idx val="0"/>
          <c:order val="0"/>
          <c:tx>
            <c:strRef>
              <c:f>[图表工具.xls]Sheet1!$B$3</c:f>
              <c:strCache>
                <c:ptCount val="1"/>
                <c:pt idx="0">
                  <c:v>2022</c:v>
                </c:pt>
              </c:strCache>
            </c:strRef>
          </c:tx>
          <c:spPr>
            <a:solidFill>
              <a:schemeClr val="accent1">
                <a:alpha val="100000"/>
              </a:schemeClr>
            </a:solidFill>
            <a:ln w="3175">
              <a:noFill/>
            </a:ln>
          </c:spPr>
          <c:invertIfNegative val="0"/>
          <c:dLbls>
            <c:delete val="1"/>
          </c:dLbls>
          <c:cat>
            <c:strRef>
              <c:f>[图表工具.xls]Sheet1!$C$2:$D$2</c:f>
              <c:strCache>
                <c:ptCount val="2"/>
                <c:pt idx="0">
                  <c:v>收入总计（万元）</c:v>
                </c:pt>
                <c:pt idx="1">
                  <c:v>支出总计（万元）</c:v>
                </c:pt>
              </c:strCache>
            </c:strRef>
          </c:cat>
          <c:val>
            <c:numRef>
              <c:f>[图表工具.xls]Sheet1!$C$3:$D$3</c:f>
              <c:numCache>
                <c:formatCode>General</c:formatCode>
                <c:ptCount val="2"/>
                <c:pt idx="0">
                  <c:v>2105.01</c:v>
                </c:pt>
                <c:pt idx="1">
                  <c:v>2105.01</c:v>
                </c:pt>
              </c:numCache>
            </c:numRef>
          </c:val>
        </c:ser>
        <c:ser>
          <c:idx val="1"/>
          <c:order val="1"/>
          <c:tx>
            <c:strRef>
              <c:f>[图表工具.xls]Sheet1!$B$4</c:f>
              <c:strCache>
                <c:ptCount val="1"/>
                <c:pt idx="0">
                  <c:v>2023</c:v>
                </c:pt>
              </c:strCache>
            </c:strRef>
          </c:tx>
          <c:spPr>
            <a:solidFill>
              <a:schemeClr val="accent2">
                <a:alpha val="100000"/>
              </a:schemeClr>
            </a:solidFill>
            <a:ln w="3175">
              <a:noFill/>
            </a:ln>
          </c:spPr>
          <c:invertIfNegative val="0"/>
          <c:dLbls>
            <c:delete val="1"/>
          </c:dLbls>
          <c:cat>
            <c:strRef>
              <c:f>[图表工具.xls]Sheet1!$C$2:$D$2</c:f>
              <c:strCache>
                <c:ptCount val="2"/>
                <c:pt idx="0">
                  <c:v>收入总计（万元）</c:v>
                </c:pt>
                <c:pt idx="1">
                  <c:v>支出总计（万元）</c:v>
                </c:pt>
              </c:strCache>
            </c:strRef>
          </c:cat>
          <c:val>
            <c:numRef>
              <c:f>[图表工具.xls]Sheet1!$C$4:$D$4</c:f>
              <c:numCache>
                <c:formatCode>General</c:formatCode>
                <c:ptCount val="2"/>
                <c:pt idx="0">
                  <c:v>3275.89</c:v>
                </c:pt>
                <c:pt idx="1">
                  <c:v>3275.89</c:v>
                </c:pt>
              </c:numCache>
            </c:numRef>
          </c:val>
        </c:ser>
        <c:dLbls>
          <c:showLegendKey val="0"/>
          <c:showVal val="0"/>
          <c:showCatName val="0"/>
          <c:showSerName val="0"/>
          <c:showPercent val="0"/>
          <c:showBubbleSize val="0"/>
        </c:dLbls>
        <c:gapWidth val="219"/>
        <c:overlap val="-27"/>
        <c:axId val="434160377"/>
        <c:axId val="744039458"/>
      </c:barChart>
      <c:catAx>
        <c:axId val="43416037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4039458"/>
        <c:crosses val="autoZero"/>
        <c:auto val="1"/>
        <c:lblAlgn val="ctr"/>
        <c:lblOffset val="100"/>
        <c:noMultiLvlLbl val="0"/>
      </c:catAx>
      <c:valAx>
        <c:axId val="74403945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dash"/>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4160377"/>
        <c:crosses val="autoZero"/>
        <c:crossBetween val="between"/>
      </c:valAx>
      <c:spPr>
        <a:noFill/>
        <a:ln w="3175">
          <a:noFill/>
        </a:ln>
      </c:spPr>
    </c:plotArea>
    <c:legend>
      <c:legendPos val="b"/>
      <c:layout>
        <c:manualLayout>
          <c:xMode val="edge"/>
          <c:yMode val="edge"/>
          <c:x val="0.4125"/>
          <c:y val="0.8945"/>
          <c:w val="0.1745"/>
          <c:h val="0.0775"/>
        </c:manualLayout>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收入决算结构图</a:t>
            </a:r>
          </a:p>
        </c:rich>
      </c:tx>
      <c:layout>
        <c:manualLayout>
          <c:xMode val="edge"/>
          <c:yMode val="edge"/>
          <c:x val="0.300324675324675"/>
          <c:y val="0.0239147387574734"/>
        </c:manualLayout>
      </c:layout>
      <c:overlay val="0"/>
    </c:title>
    <c:autoTitleDeleted val="0"/>
    <c:plotArea>
      <c:layout>
        <c:manualLayout>
          <c:layoutTarget val="inner"/>
          <c:xMode val="edge"/>
          <c:yMode val="edge"/>
          <c:x val="0.298684210526316"/>
          <c:y val="0.149768518518519"/>
          <c:w val="0.366184210526316"/>
          <c:h val="0.644212962962963"/>
        </c:manualLayout>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30.1</a:t>
                    </a:r>
                    <a:r>
                      <a:rPr lang="en-US" altLang="zh-CN"/>
                      <a:t>6</a:t>
                    </a:r>
                    <a:r>
                      <a:t>%</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[图表工具.xls]Sheet1!$B$10:$D$10</c:f>
              <c:strCache>
                <c:ptCount val="3"/>
                <c:pt idx="0">
                  <c:v>一般公共预算财政拨款收入</c:v>
                </c:pt>
                <c:pt idx="1">
                  <c:v>政府性基金</c:v>
                </c:pt>
                <c:pt idx="2">
                  <c:v>其他收入</c:v>
                </c:pt>
              </c:strCache>
            </c:strRef>
          </c:cat>
          <c:val>
            <c:numRef>
              <c:f>[图表工具.xls]Sheet1!$B$11:$D$11</c:f>
              <c:numCache>
                <c:formatCode>0.00%</c:formatCode>
                <c:ptCount val="3"/>
                <c:pt idx="0">
                  <c:v>0.6984</c:v>
                </c:pt>
                <c:pt idx="1">
                  <c:v>0.3015</c:v>
                </c:pt>
                <c:pt idx="2"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t"/>
      <c:legendEntry>
        <c:idx val="2"/>
        <c:delete val="1"/>
      </c:legendEntry>
      <c:layout>
        <c:manualLayout>
          <c:xMode val="edge"/>
          <c:yMode val="edge"/>
          <c:x val="0.210263157894737"/>
          <c:y val="0.90787037037037"/>
          <c:w val="0.772920564721892"/>
          <c:h val="0.1129556116925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endParaRPr sz="1400" b="0" i="0" u="none" strike="noStrike" baseline="0">
              <a:solidFill>
                <a:srgbClr val="404040">
                  <a:alpha val="100000"/>
                </a:srgbClr>
              </a:solidFill>
              <a:latin typeface="微软雅黑" panose="020B0503020204020204" charset="-122"/>
              <a:ea typeface="微软雅黑" panose="020B0503020204020204" charset="-122"/>
              <a:cs typeface="微软雅黑" panose="020B0503020204020204" charset="-122"/>
            </a:endParaRPr>
          </a:p>
        </c:rich>
      </c:tx>
      <c:layout>
        <c:manualLayout>
          <c:xMode val="edge"/>
          <c:yMode val="edge"/>
          <c:x val="0.340468124422544"/>
          <c:y val="0.0268069222938582"/>
        </c:manualLayout>
      </c:layout>
      <c:overlay val="0"/>
      <c:spPr>
        <a:noFill/>
        <a:ln>
          <a:noFill/>
        </a:ln>
        <a:effectLst/>
      </c:spPr>
    </c:title>
    <c:autoTitleDeleted val="0"/>
    <c:plotArea>
      <c:layout>
        <c:manualLayout>
          <c:layoutTarget val="inner"/>
          <c:xMode val="edge"/>
          <c:yMode val="edge"/>
          <c:x val="0.326834104428288"/>
          <c:y val="0.148251100301135"/>
          <c:w val="0.375941837409121"/>
          <c:h val="0.658790826963169"/>
        </c:manualLayout>
      </c:layout>
      <c:pieChart>
        <c:varyColors val="1"/>
        <c:ser>
          <c:idx val="1"/>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50.55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49</a:t>
                    </a:r>
                    <a:r>
                      <a:rPr lang="en-US" altLang="zh-CN"/>
                      <a:t>.45</a:t>
                    </a:r>
                    <a:r>
                      <a:t>%</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multiLvlStrRef>
              <c:f>[图表工具.xls]Sheet1!$B$18:$C$19</c:f>
              <c:multiLvlStrCache>
                <c:ptCount val="2"/>
                <c:lvl>
                  <c:pt idx="0">
                    <c:v>基本支出</c:v>
                  </c:pt>
                  <c:pt idx="1">
                    <c:v>项目支出</c:v>
                  </c:pt>
                </c:lvl>
                <c:lvl/>
              </c:multiLvlStrCache>
            </c:multiLvlStrRef>
          </c:cat>
          <c:val>
            <c:numRef>
              <c:f>[图表工具.xls]Sheet1!$B$20:$C$20</c:f>
              <c:numCache>
                <c:formatCode>0%</c:formatCode>
                <c:ptCount val="2"/>
                <c:pt idx="0">
                  <c:v>0.5054</c:v>
                </c:pt>
                <c:pt idx="1" c:formatCode="0.00%">
                  <c:v>0.4945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38401831434743"/>
          <c:y val="0.850827671948192"/>
          <c:w val="0.344455511288181"/>
          <c:h val="0.13009345794392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收、支决算总计变动情况图</a:t>
            </a:r>
            <a:endParaRPr lang="zh-CN"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[图表工具.xls]Sheet1!$B$3</c:f>
              <c:strCache>
                <c:ptCount val="1"/>
                <c:pt idx="0">
                  <c:v>2022</c:v>
                </c:pt>
              </c:strCache>
            </c:strRef>
          </c:tx>
          <c:spPr>
            <a:solidFill>
              <a:schemeClr val="accent1">
                <a:alpha val="100000"/>
              </a:schemeClr>
            </a:solidFill>
            <a:ln w="3175">
              <a:noFill/>
            </a:ln>
          </c:spPr>
          <c:invertIfNegative val="0"/>
          <c:dLbls>
            <c:delete val="1"/>
          </c:dLbls>
          <c:cat>
            <c:strRef>
              <c:f>[图表工具.xls]Sheet1!$C$2:$D$2</c:f>
              <c:strCache>
                <c:ptCount val="2"/>
                <c:pt idx="0">
                  <c:v>收入总计（万元）</c:v>
                </c:pt>
                <c:pt idx="1">
                  <c:v>支出总计（万元）</c:v>
                </c:pt>
              </c:strCache>
            </c:strRef>
          </c:cat>
          <c:val>
            <c:numRef>
              <c:f>[图表工具.xls]Sheet1!$C$3:$D$3</c:f>
              <c:numCache>
                <c:formatCode>General</c:formatCode>
                <c:ptCount val="2"/>
                <c:pt idx="0">
                  <c:v>2105.01</c:v>
                </c:pt>
                <c:pt idx="1">
                  <c:v>2105.01</c:v>
                </c:pt>
              </c:numCache>
            </c:numRef>
          </c:val>
        </c:ser>
        <c:ser>
          <c:idx val="1"/>
          <c:order val="1"/>
          <c:tx>
            <c:strRef>
              <c:f>[图表工具.xls]Sheet1!$B$4</c:f>
              <c:strCache>
                <c:ptCount val="1"/>
                <c:pt idx="0">
                  <c:v>2023</c:v>
                </c:pt>
              </c:strCache>
            </c:strRef>
          </c:tx>
          <c:spPr>
            <a:solidFill>
              <a:schemeClr val="accent2">
                <a:alpha val="100000"/>
              </a:schemeClr>
            </a:solidFill>
            <a:ln w="3175">
              <a:noFill/>
            </a:ln>
          </c:spPr>
          <c:invertIfNegative val="0"/>
          <c:dLbls>
            <c:delete val="1"/>
          </c:dLbls>
          <c:cat>
            <c:strRef>
              <c:f>[图表工具.xls]Sheet1!$C$2:$D$2</c:f>
              <c:strCache>
                <c:ptCount val="2"/>
                <c:pt idx="0">
                  <c:v>收入总计（万元）</c:v>
                </c:pt>
                <c:pt idx="1">
                  <c:v>支出总计（万元）</c:v>
                </c:pt>
              </c:strCache>
            </c:strRef>
          </c:cat>
          <c:val>
            <c:numRef>
              <c:f>[图表工具.xls]Sheet1!$C$4:$D$4</c:f>
              <c:numCache>
                <c:formatCode>General</c:formatCode>
                <c:ptCount val="2"/>
                <c:pt idx="0">
                  <c:v>3275.89</c:v>
                </c:pt>
                <c:pt idx="1">
                  <c:v>3275.89</c:v>
                </c:pt>
              </c:numCache>
            </c:numRef>
          </c:val>
        </c:ser>
        <c:dLbls>
          <c:showLegendKey val="0"/>
          <c:showVal val="0"/>
          <c:showCatName val="0"/>
          <c:showSerName val="0"/>
          <c:showPercent val="0"/>
          <c:showBubbleSize val="0"/>
        </c:dLbls>
        <c:gapWidth val="219"/>
        <c:overlap val="-27"/>
        <c:axId val="434160377"/>
        <c:axId val="744039458"/>
      </c:barChart>
      <c:catAx>
        <c:axId val="43416037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4039458"/>
        <c:crosses val="autoZero"/>
        <c:auto val="1"/>
        <c:lblAlgn val="ctr"/>
        <c:lblOffset val="100"/>
        <c:noMultiLvlLbl val="0"/>
      </c:catAx>
      <c:valAx>
        <c:axId val="74403945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dash"/>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4160377"/>
        <c:crosses val="autoZero"/>
        <c:crossBetween val="between"/>
      </c:valAx>
      <c:spPr>
        <a:noFill/>
        <a:ln w="3175">
          <a:noFill/>
        </a:ln>
      </c:spPr>
    </c:plotArea>
    <c:legend>
      <c:legendPos val="b"/>
      <c:layout>
        <c:manualLayout>
          <c:xMode val="edge"/>
          <c:yMode val="edge"/>
          <c:x val="0.4125"/>
          <c:y val="0.8945"/>
          <c:w val="0.1745"/>
          <c:h val="0.0775"/>
        </c:manualLayout>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'[数据资料--工作簿1.xlsx]Sheet1'!$B$32:$B$33</c:f>
              <c:strCache>
                <c:ptCount val="2"/>
                <c:pt idx="0">
                  <c:v>2022年</c:v>
                </c:pt>
                <c:pt idx="1">
                  <c:v>2023年</c:v>
                </c:pt>
              </c:strCache>
            </c:strRef>
          </c:cat>
          <c:val>
            <c:numRef>
              <c:f>'[数据资料--工作簿1.xlsx]Sheet1'!$C$32:$C$33</c:f>
              <c:numCache>
                <c:formatCode>General</c:formatCode>
                <c:ptCount val="2"/>
                <c:pt idx="0">
                  <c:v>1925.01</c:v>
                </c:pt>
                <c:pt idx="1">
                  <c:v>2307.81</c:v>
                </c:pt>
              </c:numCache>
            </c:numRef>
          </c:val>
        </c:ser>
        <c:dLbls>
          <c:showLegendKey val="0"/>
          <c:showVal val="0"/>
          <c:showCatName val="0"/>
          <c:showSerName val="0"/>
          <c:showPercent val="0"/>
          <c:showBubbleSize val="0"/>
        </c:dLbls>
        <c:gapWidth val="246"/>
        <c:overlap val="-28"/>
        <c:axId val="693854806"/>
        <c:axId val="986760902"/>
      </c:barChart>
      <c:catAx>
        <c:axId val="6938548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760902"/>
        <c:crosses val="autoZero"/>
        <c:auto val="1"/>
        <c:lblAlgn val="ctr"/>
        <c:lblOffset val="100"/>
        <c:noMultiLvlLbl val="0"/>
      </c:catAx>
      <c:valAx>
        <c:axId val="9867609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8548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manualLayout>
          <c:xMode val="edge"/>
          <c:yMode val="edge"/>
          <c:x val="0.207236842105263"/>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Lbl>
              <c:idx val="0"/>
              <c:layout>
                <c:manualLayout>
                  <c:x val="0.0572368421052632"/>
                  <c:y val="-0.03819444444444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96052631578947"/>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335526315789474"/>
                  <c:y val="0.0243055555555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335526315789474"/>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710526315789474"/>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710526315789474"/>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0789473684210526"/>
                  <c:y val="-0.0243055555555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0197368421052632"/>
                  <c:y val="-0.041666666666666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'[数据资料--工作簿1.xlsx]Sheet1'!$B$2:$B$9</c:f>
              <c:strCache>
                <c:ptCount val="8"/>
                <c:pt idx="0">
                  <c:v>一般公共服务支出</c:v>
                </c:pt>
                <c:pt idx="1">
                  <c:v>教育支出</c:v>
                </c:pt>
                <c:pt idx="2">
                  <c:v>社会保障和就业支出</c:v>
                </c:pt>
                <c:pt idx="3">
                  <c:v>卫生健康支出</c:v>
                </c:pt>
                <c:pt idx="4">
                  <c:v>农林水支出</c:v>
                </c:pt>
                <c:pt idx="5">
                  <c:v>交通运输支出</c:v>
                </c:pt>
                <c:pt idx="6">
                  <c:v>住房保障支出</c:v>
                </c:pt>
                <c:pt idx="7">
                  <c:v>灾害防治及应急管理支出</c:v>
                </c:pt>
              </c:strCache>
            </c:strRef>
          </c:cat>
          <c:val>
            <c:numRef>
              <c:f>'[数据资料--工作簿1.xlsx]Sheet1'!$C$2:$C$9</c:f>
              <c:numCache>
                <c:formatCode>General</c:formatCode>
                <c:ptCount val="8"/>
                <c:pt idx="0">
                  <c:v>7299838.45</c:v>
                </c:pt>
                <c:pt idx="1">
                  <c:v>465554.68</c:v>
                </c:pt>
                <c:pt idx="2">
                  <c:v>1171284.12</c:v>
                </c:pt>
                <c:pt idx="3">
                  <c:v>5099726.18</c:v>
                </c:pt>
                <c:pt idx="4">
                  <c:v>7023765.85</c:v>
                </c:pt>
                <c:pt idx="5">
                  <c:v>86000</c:v>
                </c:pt>
                <c:pt idx="6">
                  <c:v>871966.72</c:v>
                </c:pt>
                <c:pt idx="7">
                  <c:v>1060000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a:t>
            </a:r>
            <a:r>
              <a:t>三公</a:t>
            </a:r>
            <a:r>
              <a:rPr lang="en-US" altLang="zh-CN"/>
              <a:t>”</a:t>
            </a:r>
            <a:r>
              <a:t>经费财政拨款支出结构</a:t>
            </a:r>
            <a:endParaRPr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7405152245054"/>
          <c:y val="0.0189814814814815"/>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[图表工具.xls]Sheet1!$A$58:$B$58</c:f>
              <c:strCache>
                <c:ptCount val="2"/>
                <c:pt idx="0">
                  <c:v>公务用车</c:v>
                </c:pt>
                <c:pt idx="1">
                  <c:v>公务接待费</c:v>
                </c:pt>
              </c:strCache>
            </c:strRef>
          </c:cat>
          <c:val>
            <c:numRef>
              <c:f>[图表工具.xls]Sheet1!$A$59:$B$59</c:f>
              <c:numCache>
                <c:formatCode>General</c:formatCode>
                <c:ptCount val="2"/>
                <c:pt idx="0">
                  <c:v>24.75</c:v>
                </c:pt>
                <c:pt idx="1">
                  <c:v>75.24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11278</Words>
  <Characters>13424</Characters>
  <Lines>54</Lines>
  <Paragraphs>15</Paragraphs>
  <TotalTime>47</TotalTime>
  <ScaleCrop>false</ScaleCrop>
  <LinksUpToDate>false</LinksUpToDate>
  <CharactersWithSpaces>13587</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2024-10-30T05:25:00Z</cp:lastPrinted>
  <dcterms:modified xsi:type="dcterms:W3CDTF">2024-12-29T06:53:31Z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F7AA3792BDDF433FA804A7A0131C06D0_12</vt:lpwstr>
  </property>
  <property fmtid="{D5CDD505-2E9C-101B-9397-08002B2CF9AE}" pid="4" name="KSOTemplateDocerSaveRecord">
    <vt:lpwstr>eyJoZGlkIjoiMmMyNzk1ZGJiNzgwNzNhZTViMmM0MzY2NzgwNDFhODYiLCJ1c2VySWQiOiI0ODgzNjUxNDkifQ==</vt:lpwstr>
  </property>
</Properties>
</file>